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4CEA" w:rsidRDefault="000E4CEA" w:rsidP="000E4CEA">
      <w:pPr>
        <w:pStyle w:val="Nadpis2"/>
        <w:ind w:left="6237"/>
      </w:pPr>
      <w:bookmarkStart w:id="0" w:name="_Toc428341455"/>
      <w:bookmarkStart w:id="1" w:name="_Toc429388775"/>
    </w:p>
    <w:p w:rsidR="009819EB" w:rsidRDefault="00AB595B" w:rsidP="00B32F40">
      <w:pPr>
        <w:pStyle w:val="Nadpis2"/>
        <w:ind w:left="6237"/>
        <w:rPr>
          <w:b/>
          <w:bCs/>
          <w:color w:val="4F81BD" w:themeColor="accent1"/>
          <w:lang w:val="cs-CZ" w:eastAsia="en-US"/>
        </w:rPr>
      </w:pPr>
      <w:r>
        <w:rPr>
          <w:b/>
          <w:bCs/>
          <w:color w:val="4F81BD" w:themeColor="accent1"/>
          <w:lang w:val="cs-CZ" w:eastAsia="en-US"/>
        </w:rPr>
        <w:t xml:space="preserve">Příloha B </w:t>
      </w:r>
      <w:r w:rsidR="00B32F40">
        <w:rPr>
          <w:b/>
          <w:bCs/>
          <w:color w:val="4F81BD" w:themeColor="accent1"/>
          <w:lang w:val="cs-CZ" w:eastAsia="en-US"/>
        </w:rPr>
        <w:t>–</w:t>
      </w:r>
      <w:r w:rsidR="009819EB" w:rsidRPr="000E4CEA">
        <w:rPr>
          <w:b/>
          <w:bCs/>
          <w:color w:val="4F81BD" w:themeColor="accent1"/>
          <w:lang w:val="cs-CZ" w:eastAsia="en-US"/>
        </w:rPr>
        <w:t xml:space="preserve"> </w:t>
      </w:r>
      <w:bookmarkEnd w:id="0"/>
      <w:bookmarkEnd w:id="1"/>
      <w:r w:rsidR="009819EB" w:rsidRPr="000E4CEA">
        <w:rPr>
          <w:b/>
          <w:bCs/>
          <w:color w:val="4F81BD" w:themeColor="accent1"/>
          <w:lang w:val="cs-CZ" w:eastAsia="en-US"/>
        </w:rPr>
        <w:t>Finsko</w:t>
      </w:r>
    </w:p>
    <w:p w:rsidR="00B32F40" w:rsidRPr="00B32F40" w:rsidRDefault="00B32F40" w:rsidP="00B32F40">
      <w:pPr>
        <w:rPr>
          <w:lang w:val="cs-CZ" w:eastAsia="en-US"/>
        </w:rPr>
      </w:pPr>
      <w:bookmarkStart w:id="2" w:name="_GoBack"/>
      <w:bookmarkEnd w:id="2"/>
    </w:p>
    <w:p w:rsidR="00313EDD" w:rsidRDefault="00313EDD" w:rsidP="000E4CEA">
      <w:pPr>
        <w:jc w:val="center"/>
        <w:rPr>
          <w:b/>
          <w:sz w:val="32"/>
          <w:szCs w:val="32"/>
          <w:lang w:val="cs-CZ"/>
        </w:rPr>
      </w:pPr>
      <w:r w:rsidRPr="00B37002">
        <w:rPr>
          <w:b/>
          <w:sz w:val="32"/>
          <w:szCs w:val="32"/>
          <w:lang w:val="cs-CZ"/>
        </w:rPr>
        <w:t>Průzkum informačních portálů v so</w:t>
      </w:r>
      <w:r w:rsidR="00AB595B">
        <w:rPr>
          <w:b/>
          <w:sz w:val="32"/>
          <w:szCs w:val="32"/>
          <w:lang w:val="cs-CZ"/>
        </w:rPr>
        <w:t>uvislosti s informacemi o VŠ ve </w:t>
      </w:r>
      <w:r w:rsidRPr="00B37002">
        <w:rPr>
          <w:b/>
          <w:sz w:val="32"/>
          <w:szCs w:val="32"/>
          <w:lang w:val="cs-CZ"/>
        </w:rPr>
        <w:t>Finsku</w:t>
      </w:r>
    </w:p>
    <w:p w:rsidR="00313EDD" w:rsidRDefault="00313EDD" w:rsidP="00313EDD">
      <w:pPr>
        <w:rPr>
          <w:sz w:val="24"/>
          <w:szCs w:val="24"/>
          <w:lang w:val="cs-CZ"/>
        </w:rPr>
      </w:pPr>
      <w:r>
        <w:rPr>
          <w:sz w:val="24"/>
          <w:szCs w:val="24"/>
          <w:lang w:val="cs-CZ"/>
        </w:rPr>
        <w:t>Specificky je průzkum zaměřen na dynamické informace napojené na autorizované zdroje informací (typicky ministerstva), které umožní vyhledávání a porovnávání jednotlivých institucí z hlediska zaměření, kvalit nebo místa výskytu.</w:t>
      </w:r>
    </w:p>
    <w:p w:rsidR="00313EDD" w:rsidRDefault="007904D8" w:rsidP="00313EDD">
      <w:pPr>
        <w:rPr>
          <w:sz w:val="24"/>
          <w:szCs w:val="24"/>
          <w:lang w:val="cs-CZ"/>
        </w:rPr>
      </w:pPr>
      <w:hyperlink r:id="rId8" w:history="1">
        <w:r w:rsidR="00313EDD" w:rsidRPr="00B37002">
          <w:rPr>
            <w:rStyle w:val="Hypertextovodkaz"/>
            <w:lang w:val="cs-CZ"/>
          </w:rPr>
          <w:t>http://europa.eu/youth/node/155_cs</w:t>
        </w:r>
      </w:hyperlink>
      <w:r w:rsidR="00313EDD">
        <w:rPr>
          <w:rStyle w:val="Hypertextovodkaz"/>
          <w:lang w:val="cs-CZ"/>
        </w:rPr>
        <w:t xml:space="preserve">       </w:t>
      </w:r>
      <w:r w:rsidR="00313EDD" w:rsidRPr="005E087C">
        <w:rPr>
          <w:rStyle w:val="Hypertextovodkaz"/>
          <w:color w:val="auto"/>
          <w:u w:val="none"/>
          <w:lang w:val="cs-CZ"/>
        </w:rPr>
        <w:t>-</w:t>
      </w:r>
      <w:r w:rsidR="00313EDD">
        <w:rPr>
          <w:rStyle w:val="Hypertextovodkaz"/>
          <w:color w:val="auto"/>
          <w:u w:val="none"/>
          <w:lang w:val="cs-CZ"/>
        </w:rPr>
        <w:t xml:space="preserve">  Generický portál zemí EU - </w:t>
      </w:r>
      <w:r w:rsidR="00313EDD" w:rsidRPr="005E087C">
        <w:rPr>
          <w:rStyle w:val="Hypertextovodkaz"/>
          <w:color w:val="auto"/>
          <w:u w:val="none"/>
          <w:lang w:val="cs-CZ"/>
        </w:rPr>
        <w:t xml:space="preserve"> tento portál pouze staticky představuje informace jednotlivých zemí EU – nezajímavý z pohledu účelu rešerše</w:t>
      </w:r>
    </w:p>
    <w:p w:rsidR="00313EDD" w:rsidRPr="00963D96" w:rsidRDefault="007904D8" w:rsidP="00313EDD">
      <w:pPr>
        <w:ind w:right="-897"/>
        <w:rPr>
          <w:lang w:val="cs-CZ"/>
        </w:rPr>
      </w:pPr>
      <w:hyperlink r:id="rId9" w:history="1">
        <w:r w:rsidR="00313EDD" w:rsidRPr="00B37002">
          <w:rPr>
            <w:rStyle w:val="Hypertextovodkaz"/>
            <w:lang w:val="cs-CZ"/>
          </w:rPr>
          <w:t>http://www.oph.fi/english/education</w:t>
        </w:r>
      </w:hyperlink>
      <w:r w:rsidR="00313EDD">
        <w:rPr>
          <w:rStyle w:val="Hypertextovodkaz"/>
          <w:lang w:val="cs-CZ"/>
        </w:rPr>
        <w:t xml:space="preserve">  </w:t>
      </w:r>
      <w:proofErr w:type="spellStart"/>
      <w:r w:rsidR="00313EDD" w:rsidRPr="00963D96">
        <w:t>Portál</w:t>
      </w:r>
      <w:proofErr w:type="spellEnd"/>
      <w:r w:rsidR="00313EDD" w:rsidRPr="00963D96">
        <w:t xml:space="preserve"> </w:t>
      </w:r>
      <w:proofErr w:type="spellStart"/>
      <w:r w:rsidR="00313EDD" w:rsidRPr="00963D96">
        <w:rPr>
          <w:lang w:val="cs-CZ"/>
        </w:rPr>
        <w:t>The</w:t>
      </w:r>
      <w:proofErr w:type="spellEnd"/>
      <w:r w:rsidR="00313EDD" w:rsidRPr="00963D96">
        <w:rPr>
          <w:lang w:val="cs-CZ"/>
        </w:rPr>
        <w:t xml:space="preserve"> </w:t>
      </w:r>
      <w:proofErr w:type="spellStart"/>
      <w:r w:rsidR="00313EDD" w:rsidRPr="00963D96">
        <w:rPr>
          <w:lang w:val="cs-CZ"/>
        </w:rPr>
        <w:t>Finnish</w:t>
      </w:r>
      <w:proofErr w:type="spellEnd"/>
      <w:r w:rsidR="00313EDD" w:rsidRPr="00963D96">
        <w:rPr>
          <w:lang w:val="cs-CZ"/>
        </w:rPr>
        <w:t xml:space="preserve"> </w:t>
      </w:r>
      <w:proofErr w:type="spellStart"/>
      <w:r w:rsidR="00313EDD" w:rsidRPr="00963D96">
        <w:rPr>
          <w:lang w:val="cs-CZ"/>
        </w:rPr>
        <w:t>National</w:t>
      </w:r>
      <w:proofErr w:type="spellEnd"/>
      <w:r w:rsidR="00313EDD" w:rsidRPr="00963D96">
        <w:rPr>
          <w:lang w:val="cs-CZ"/>
        </w:rPr>
        <w:t xml:space="preserve"> </w:t>
      </w:r>
      <w:proofErr w:type="spellStart"/>
      <w:r w:rsidR="00313EDD" w:rsidRPr="00963D96">
        <w:rPr>
          <w:lang w:val="cs-CZ"/>
        </w:rPr>
        <w:t>Board</w:t>
      </w:r>
      <w:proofErr w:type="spellEnd"/>
      <w:r w:rsidR="00313EDD" w:rsidRPr="00963D96">
        <w:rPr>
          <w:lang w:val="cs-CZ"/>
        </w:rPr>
        <w:t xml:space="preserve"> </w:t>
      </w:r>
      <w:proofErr w:type="spellStart"/>
      <w:r w:rsidR="00313EDD" w:rsidRPr="00963D96">
        <w:rPr>
          <w:lang w:val="cs-CZ"/>
        </w:rPr>
        <w:t>of</w:t>
      </w:r>
      <w:proofErr w:type="spellEnd"/>
      <w:r w:rsidR="00313EDD" w:rsidRPr="00963D96">
        <w:rPr>
          <w:lang w:val="cs-CZ"/>
        </w:rPr>
        <w:t xml:space="preserve"> </w:t>
      </w:r>
      <w:proofErr w:type="spellStart"/>
      <w:r w:rsidR="00313EDD" w:rsidRPr="00963D96">
        <w:rPr>
          <w:lang w:val="cs-CZ"/>
        </w:rPr>
        <w:t>Education</w:t>
      </w:r>
      <w:proofErr w:type="spellEnd"/>
      <w:r w:rsidR="00313EDD">
        <w:rPr>
          <w:lang w:val="cs-CZ"/>
        </w:rPr>
        <w:t xml:space="preserve"> FNBE (napojena </w:t>
      </w:r>
      <w:proofErr w:type="gramStart"/>
      <w:r w:rsidR="00313EDD">
        <w:rPr>
          <w:lang w:val="cs-CZ"/>
        </w:rPr>
        <w:t>na  ministerstvo</w:t>
      </w:r>
      <w:proofErr w:type="gramEnd"/>
      <w:r w:rsidR="00313EDD">
        <w:rPr>
          <w:lang w:val="cs-CZ"/>
        </w:rPr>
        <w:t xml:space="preserve"> školství). Opět průřezové informace o celém systému školství. Velice zajímavá část je o kontrole kvality, včetně porovnání systémů v různých zemích (včetně Maďarska). Jsou zde pouze statické informace, nelze třídit a vyhledávat, rovněž neobsahuje odkazy na instituce a školy. Obsahuje i část statistik, které však neporovnávají instituce, ale spíše obecnou úroveň</w:t>
      </w:r>
    </w:p>
    <w:p w:rsidR="00313EDD" w:rsidRPr="007E02D9" w:rsidRDefault="007904D8" w:rsidP="00313EDD">
      <w:pPr>
        <w:ind w:right="-897"/>
        <w:rPr>
          <w:sz w:val="24"/>
          <w:szCs w:val="24"/>
          <w:lang w:val="cs-CZ"/>
        </w:rPr>
      </w:pPr>
      <w:hyperlink r:id="rId10" w:history="1">
        <w:r w:rsidR="00313EDD" w:rsidRPr="00B37002">
          <w:rPr>
            <w:rStyle w:val="Hypertextovodkaz"/>
            <w:lang w:val="cs-CZ"/>
          </w:rPr>
          <w:t>https://webgate.ec.europa.eu/fpfis/mwikis/eurydice/index.php/Finland:Overview</w:t>
        </w:r>
      </w:hyperlink>
      <w:r w:rsidR="00313EDD">
        <w:rPr>
          <w:rStyle w:val="Hypertextovodkaz"/>
          <w:lang w:val="cs-CZ"/>
        </w:rPr>
        <w:t xml:space="preserve"> </w:t>
      </w:r>
      <w:r w:rsidR="00313EDD" w:rsidRPr="007E02D9">
        <w:rPr>
          <w:rStyle w:val="Hypertextovodkaz"/>
          <w:color w:val="auto"/>
          <w:u w:val="none"/>
          <w:lang w:val="cs-CZ"/>
        </w:rPr>
        <w:t>Evropský portál – přehledné informace o systémech školství v jednotlivých zemích EU</w:t>
      </w:r>
    </w:p>
    <w:p w:rsidR="00313EDD" w:rsidRDefault="007904D8" w:rsidP="00313EDD">
      <w:pPr>
        <w:ind w:right="-897"/>
        <w:rPr>
          <w:sz w:val="24"/>
          <w:szCs w:val="24"/>
          <w:lang w:val="cs-CZ"/>
        </w:rPr>
      </w:pPr>
      <w:hyperlink r:id="rId11" w:history="1">
        <w:r w:rsidR="00313EDD" w:rsidRPr="00B37002">
          <w:rPr>
            <w:rStyle w:val="Hypertextovodkaz"/>
            <w:lang w:val="cs-CZ"/>
          </w:rPr>
          <w:t>http://universityadmissions.fi/</w:t>
        </w:r>
      </w:hyperlink>
      <w:r w:rsidR="00313EDD">
        <w:rPr>
          <w:rStyle w:val="Hypertextovodkaz"/>
          <w:lang w:val="cs-CZ"/>
        </w:rPr>
        <w:t xml:space="preserve">  </w:t>
      </w:r>
      <w:r w:rsidR="00313EDD" w:rsidRPr="006C1CD0">
        <w:rPr>
          <w:rStyle w:val="Hypertextovodkaz"/>
          <w:color w:val="auto"/>
          <w:u w:val="none"/>
          <w:lang w:val="cs-CZ"/>
        </w:rPr>
        <w:t>Portál skupiny univerzit, řeší životní situace</w:t>
      </w:r>
      <w:r w:rsidR="00313EDD">
        <w:rPr>
          <w:rStyle w:val="Hypertextovodkaz"/>
          <w:color w:val="auto"/>
          <w:u w:val="none"/>
          <w:lang w:val="cs-CZ"/>
        </w:rPr>
        <w:t>, obsahuje dokumenty a informace důležité pro životní cyklus studenta. Je to jistý „poradní bod“.</w:t>
      </w:r>
    </w:p>
    <w:p w:rsidR="00313EDD" w:rsidRPr="006C1CD0" w:rsidRDefault="007904D8" w:rsidP="00313EDD">
      <w:pPr>
        <w:ind w:right="-897"/>
        <w:rPr>
          <w:rStyle w:val="Hypertextovodkaz"/>
          <w:color w:val="auto"/>
          <w:u w:val="none"/>
        </w:rPr>
      </w:pPr>
      <w:hyperlink r:id="rId12" w:history="1">
        <w:r w:rsidR="00313EDD" w:rsidRPr="00B37002">
          <w:rPr>
            <w:rStyle w:val="Hypertextovodkaz"/>
            <w:lang w:val="cs-CZ"/>
          </w:rPr>
          <w:t>http://www.edev.fi/portal/english5</w:t>
        </w:r>
      </w:hyperlink>
      <w:r w:rsidR="00313EDD">
        <w:rPr>
          <w:rStyle w:val="Hypertextovodkaz"/>
          <w:lang w:val="cs-CZ"/>
        </w:rPr>
        <w:t xml:space="preserve"> </w:t>
      </w:r>
      <w:r w:rsidR="00313EDD" w:rsidRPr="006C1CD0">
        <w:rPr>
          <w:rStyle w:val="Hypertextovodkaz"/>
          <w:color w:val="auto"/>
          <w:u w:val="none"/>
          <w:lang w:val="cs-CZ"/>
        </w:rPr>
        <w:t xml:space="preserve">Informační portál </w:t>
      </w:r>
      <w:proofErr w:type="spellStart"/>
      <w:r w:rsidR="00313EDD" w:rsidRPr="006C1CD0">
        <w:rPr>
          <w:rStyle w:val="Hypertextovodkaz"/>
          <w:color w:val="auto"/>
          <w:u w:val="none"/>
          <w:lang w:val="cs-CZ"/>
        </w:rPr>
        <w:t>The</w:t>
      </w:r>
      <w:proofErr w:type="spellEnd"/>
      <w:r w:rsidR="00313EDD" w:rsidRPr="006C1CD0">
        <w:rPr>
          <w:rStyle w:val="Hypertextovodkaz"/>
          <w:color w:val="auto"/>
          <w:u w:val="none"/>
          <w:lang w:val="cs-CZ"/>
        </w:rPr>
        <w:t xml:space="preserve"> </w:t>
      </w:r>
      <w:proofErr w:type="spellStart"/>
      <w:r w:rsidR="00313EDD" w:rsidRPr="006C1CD0">
        <w:rPr>
          <w:rStyle w:val="Hypertextovodkaz"/>
          <w:color w:val="auto"/>
          <w:u w:val="none"/>
          <w:lang w:val="cs-CZ"/>
        </w:rPr>
        <w:t>Finnish</w:t>
      </w:r>
      <w:proofErr w:type="spellEnd"/>
      <w:r w:rsidR="00313EDD" w:rsidRPr="006C1CD0">
        <w:rPr>
          <w:rStyle w:val="Hypertextovodkaz"/>
          <w:color w:val="auto"/>
          <w:u w:val="none"/>
          <w:lang w:val="cs-CZ"/>
        </w:rPr>
        <w:t xml:space="preserve"> </w:t>
      </w:r>
      <w:proofErr w:type="spellStart"/>
      <w:r w:rsidR="00313EDD" w:rsidRPr="006C1CD0">
        <w:rPr>
          <w:rStyle w:val="Hypertextovodkaz"/>
          <w:color w:val="auto"/>
          <w:u w:val="none"/>
          <w:lang w:val="cs-CZ"/>
        </w:rPr>
        <w:t>Education</w:t>
      </w:r>
      <w:proofErr w:type="spellEnd"/>
      <w:r w:rsidR="00313EDD" w:rsidRPr="006C1CD0">
        <w:rPr>
          <w:rStyle w:val="Hypertextovodkaz"/>
          <w:color w:val="auto"/>
          <w:u w:val="none"/>
          <w:lang w:val="cs-CZ"/>
        </w:rPr>
        <w:t xml:space="preserve"> </w:t>
      </w:r>
      <w:proofErr w:type="spellStart"/>
      <w:r w:rsidR="00313EDD" w:rsidRPr="006C1CD0">
        <w:rPr>
          <w:rStyle w:val="Hypertextovodkaz"/>
          <w:color w:val="auto"/>
          <w:u w:val="none"/>
          <w:lang w:val="cs-CZ"/>
        </w:rPr>
        <w:t>Evaluation</w:t>
      </w:r>
      <w:proofErr w:type="spellEnd"/>
      <w:r w:rsidR="00313EDD" w:rsidRPr="006C1CD0">
        <w:rPr>
          <w:rStyle w:val="Hypertextovodkaz"/>
          <w:color w:val="auto"/>
          <w:u w:val="none"/>
          <w:lang w:val="cs-CZ"/>
        </w:rPr>
        <w:t xml:space="preserve"> </w:t>
      </w:r>
      <w:proofErr w:type="spellStart"/>
      <w:r w:rsidR="00313EDD" w:rsidRPr="006C1CD0">
        <w:rPr>
          <w:rStyle w:val="Hypertextovodkaz"/>
          <w:color w:val="auto"/>
          <w:u w:val="none"/>
          <w:lang w:val="cs-CZ"/>
        </w:rPr>
        <w:t>Council</w:t>
      </w:r>
      <w:proofErr w:type="spellEnd"/>
      <w:r w:rsidR="00313EDD">
        <w:rPr>
          <w:rStyle w:val="Hypertextovodkaz"/>
          <w:color w:val="auto"/>
          <w:u w:val="none"/>
          <w:lang w:val="cs-CZ"/>
        </w:rPr>
        <w:t>, napojený na ministerstvo, statické informace, spousta externích odkazů, určený spíše pro odborníky ve školské problematice.</w:t>
      </w: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313EDD" w:rsidRPr="00963D96" w:rsidRDefault="007904D8" w:rsidP="00313EDD">
      <w:pPr>
        <w:ind w:right="-897"/>
        <w:rPr>
          <w:sz w:val="24"/>
          <w:szCs w:val="24"/>
          <w:lang w:val="cs-CZ"/>
        </w:rPr>
      </w:pPr>
      <w:hyperlink r:id="rId13" w:history="1">
        <w:r w:rsidR="00313EDD" w:rsidRPr="00B37002">
          <w:rPr>
            <w:rStyle w:val="Hypertextovodkaz"/>
          </w:rPr>
          <w:t>http://www.studyinfinland.fi/</w:t>
        </w:r>
      </w:hyperlink>
      <w:r w:rsidR="00313EDD">
        <w:rPr>
          <w:rStyle w:val="Hypertextovodkaz"/>
        </w:rPr>
        <w:t xml:space="preserve">  </w:t>
      </w:r>
      <w:proofErr w:type="gramStart"/>
      <w:r w:rsidR="00313EDD" w:rsidRPr="00511512">
        <w:rPr>
          <w:rStyle w:val="Hypertextovodkaz"/>
          <w:color w:val="auto"/>
          <w:u w:val="none"/>
        </w:rPr>
        <w:t xml:space="preserve">web  </w:t>
      </w:r>
      <w:r w:rsidR="00313EDD" w:rsidRPr="00963D96">
        <w:rPr>
          <w:b/>
        </w:rPr>
        <w:t>Centre</w:t>
      </w:r>
      <w:proofErr w:type="gramEnd"/>
      <w:r w:rsidR="00313EDD" w:rsidRPr="00963D96">
        <w:rPr>
          <w:b/>
        </w:rPr>
        <w:t xml:space="preserve"> for International Mobility </w:t>
      </w:r>
      <w:r w:rsidR="00313EDD">
        <w:rPr>
          <w:b/>
        </w:rPr>
        <w:t xml:space="preserve">- </w:t>
      </w:r>
      <w:r w:rsidR="00313EDD" w:rsidRPr="00963D96">
        <w:rPr>
          <w:b/>
          <w:lang w:val="cs-CZ"/>
        </w:rPr>
        <w:t>CIMO</w:t>
      </w:r>
      <w:r w:rsidR="00313EDD" w:rsidRPr="00963D96">
        <w:rPr>
          <w:lang w:val="cs-CZ"/>
        </w:rPr>
        <w:t xml:space="preserve"> (Agentura ministerstva školství FR), obsahuje aktivní informace co studovat a kde studovat, včetně aktivního vyhledávání. Zaměřeno především výběr před studiem. Velmi podrobný přehled. Informace musí být napojeny na oficiální databázi ministerstva</w:t>
      </w:r>
      <w:r w:rsidR="00313EDD">
        <w:rPr>
          <w:lang w:val="cs-CZ"/>
        </w:rPr>
        <w:t xml:space="preserve"> (předpoklad)</w:t>
      </w:r>
      <w:r w:rsidR="00313EDD" w:rsidRPr="00963D96">
        <w:rPr>
          <w:lang w:val="cs-CZ"/>
        </w:rPr>
        <w:t>. Prohledávání však neobsahuje hodnotící parametry.</w:t>
      </w:r>
    </w:p>
    <w:p w:rsidR="00313EDD" w:rsidRDefault="00313EDD" w:rsidP="00313EDD">
      <w:pPr>
        <w:ind w:right="-897"/>
        <w:rPr>
          <w:sz w:val="24"/>
          <w:szCs w:val="24"/>
          <w:lang w:val="cs-CZ"/>
        </w:rPr>
      </w:pPr>
      <w:r>
        <w:rPr>
          <w:noProof/>
          <w:lang w:val="cs-CZ" w:eastAsia="cs-CZ"/>
        </w:rPr>
        <w:drawing>
          <wp:inline distT="0" distB="0" distL="0" distR="0" wp14:anchorId="7C9B4942" wp14:editId="79D62C01">
            <wp:extent cx="6265488" cy="3524250"/>
            <wp:effectExtent l="0" t="0" r="254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68671" cy="3526041"/>
                    </a:xfrm>
                    <a:prstGeom prst="rect">
                      <a:avLst/>
                    </a:prstGeom>
                  </pic:spPr>
                </pic:pic>
              </a:graphicData>
            </a:graphic>
          </wp:inline>
        </w:drawing>
      </w:r>
    </w:p>
    <w:p w:rsidR="00313EDD" w:rsidRDefault="00313EDD" w:rsidP="00313EDD">
      <w:pPr>
        <w:ind w:right="-897"/>
        <w:rPr>
          <w:sz w:val="24"/>
          <w:szCs w:val="24"/>
          <w:lang w:val="cs-CZ"/>
        </w:rPr>
      </w:pPr>
    </w:p>
    <w:p w:rsidR="00313EDD" w:rsidRDefault="00313EDD" w:rsidP="00313EDD">
      <w:pPr>
        <w:ind w:right="-897"/>
        <w:rPr>
          <w:sz w:val="24"/>
          <w:szCs w:val="24"/>
          <w:lang w:val="cs-CZ"/>
        </w:rPr>
      </w:pPr>
    </w:p>
    <w:p w:rsidR="00C43A0C" w:rsidRDefault="00C43A0C" w:rsidP="00C43A0C">
      <w:pPr>
        <w:jc w:val="center"/>
        <w:rPr>
          <w:b/>
          <w:sz w:val="32"/>
          <w:szCs w:val="32"/>
          <w:lang w:val="cs-CZ"/>
        </w:rPr>
      </w:pPr>
      <w:r w:rsidRPr="00B37002">
        <w:rPr>
          <w:b/>
          <w:sz w:val="32"/>
          <w:szCs w:val="32"/>
          <w:lang w:val="cs-CZ"/>
        </w:rPr>
        <w:t>P</w:t>
      </w:r>
      <w:r>
        <w:rPr>
          <w:b/>
          <w:sz w:val="32"/>
          <w:szCs w:val="32"/>
          <w:lang w:val="cs-CZ"/>
        </w:rPr>
        <w:t>ortál Ministerstva vzdělávání a kultury Finské Republiky</w:t>
      </w:r>
    </w:p>
    <w:p w:rsidR="00313EDD" w:rsidRDefault="007904D8" w:rsidP="008F48AA">
      <w:pPr>
        <w:ind w:right="-897"/>
        <w:rPr>
          <w:rStyle w:val="Hypertextovodkaz"/>
          <w:color w:val="auto"/>
          <w:u w:val="none"/>
          <w:lang w:val="cs-CZ"/>
        </w:rPr>
      </w:pPr>
      <w:hyperlink r:id="rId15" w:history="1">
        <w:r w:rsidR="008F48AA" w:rsidRPr="00B37002">
          <w:rPr>
            <w:rStyle w:val="Hypertextovodkaz"/>
            <w:lang w:val="cs-CZ"/>
          </w:rPr>
          <w:t>http://www.minedu.fi/OPM/Koulutus/ammattikorkeakoulutus/hallinto_ohjaus_ja_rahoitus/?lang=en</w:t>
        </w:r>
      </w:hyperlink>
      <w:r w:rsidR="00313EDD" w:rsidRPr="00313EDD">
        <w:rPr>
          <w:rStyle w:val="Hypertextovodkaz"/>
          <w:color w:val="auto"/>
          <w:u w:val="none"/>
          <w:lang w:val="cs-CZ"/>
        </w:rPr>
        <w:t xml:space="preserve"> </w:t>
      </w:r>
    </w:p>
    <w:p w:rsidR="00313EDD" w:rsidRDefault="00313EDD" w:rsidP="008F48AA">
      <w:pPr>
        <w:ind w:right="-897"/>
        <w:rPr>
          <w:rStyle w:val="Hypertextovodkaz"/>
          <w:color w:val="auto"/>
          <w:u w:val="none"/>
          <w:lang w:val="cs-CZ"/>
        </w:rPr>
      </w:pPr>
    </w:p>
    <w:p w:rsidR="008F48AA" w:rsidRDefault="00313EDD" w:rsidP="008F48AA">
      <w:pPr>
        <w:ind w:right="-897"/>
        <w:rPr>
          <w:rStyle w:val="Hypertextovodkaz"/>
          <w:color w:val="auto"/>
          <w:u w:val="none"/>
          <w:lang w:val="cs-CZ"/>
        </w:rPr>
      </w:pPr>
      <w:r>
        <w:rPr>
          <w:rStyle w:val="Hypertextovodkaz"/>
          <w:color w:val="auto"/>
          <w:u w:val="none"/>
          <w:lang w:val="cs-CZ"/>
        </w:rPr>
        <w:t>O</w:t>
      </w:r>
      <w:r w:rsidRPr="005E087C">
        <w:rPr>
          <w:rStyle w:val="Hypertextovodkaz"/>
          <w:color w:val="auto"/>
          <w:u w:val="none"/>
          <w:lang w:val="cs-CZ"/>
        </w:rPr>
        <w:t>ficiáln</w:t>
      </w:r>
      <w:r>
        <w:rPr>
          <w:rStyle w:val="Hypertextovodkaz"/>
          <w:color w:val="auto"/>
          <w:u w:val="none"/>
          <w:lang w:val="cs-CZ"/>
        </w:rPr>
        <w:t>í</w:t>
      </w:r>
      <w:r w:rsidRPr="005E087C">
        <w:rPr>
          <w:rStyle w:val="Hypertextovodkaz"/>
          <w:color w:val="auto"/>
          <w:u w:val="none"/>
          <w:lang w:val="cs-CZ"/>
        </w:rPr>
        <w:t xml:space="preserve"> web ministerstva, informace o způsobu </w:t>
      </w:r>
      <w:r>
        <w:rPr>
          <w:rStyle w:val="Hypertextovodkaz"/>
          <w:color w:val="auto"/>
          <w:u w:val="none"/>
          <w:lang w:val="cs-CZ"/>
        </w:rPr>
        <w:t xml:space="preserve">porovnávání úrovně, informace jsou statické, nicméně aktuální. Portál je zaměřen na celý vzdělávací proces, existují odkazy na všechny univerzity, včetně jejich zaměření. Implementována metoda PISA2012. Neobsahuje aktivní vyhledávání podle výběrových kritérií. – </w:t>
      </w:r>
    </w:p>
    <w:p w:rsidR="00313EDD" w:rsidRDefault="00313EDD" w:rsidP="008F48AA">
      <w:pPr>
        <w:ind w:right="-897"/>
        <w:rPr>
          <w:rStyle w:val="Hypertextovodkaz"/>
          <w:color w:val="auto"/>
          <w:u w:val="none"/>
          <w:lang w:val="cs-CZ"/>
        </w:rPr>
      </w:pPr>
    </w:p>
    <w:p w:rsidR="00AB2346" w:rsidRDefault="00313EDD">
      <w:pPr>
        <w:rPr>
          <w:sz w:val="24"/>
          <w:szCs w:val="24"/>
          <w:lang w:val="cs-CZ"/>
        </w:rPr>
      </w:pPr>
      <w:r>
        <w:rPr>
          <w:sz w:val="24"/>
          <w:szCs w:val="24"/>
          <w:lang w:val="cs-CZ"/>
        </w:rPr>
        <w:t>P</w:t>
      </w:r>
      <w:r w:rsidR="00AB2346">
        <w:rPr>
          <w:sz w:val="24"/>
          <w:szCs w:val="24"/>
          <w:lang w:val="cs-CZ"/>
        </w:rPr>
        <w:t>ortál je koncipován jako rozcestník ukazující jednotlivé aktivity ministerstva.</w:t>
      </w:r>
    </w:p>
    <w:p w:rsidR="00AB2346" w:rsidRDefault="00AB2346">
      <w:pPr>
        <w:rPr>
          <w:sz w:val="24"/>
          <w:szCs w:val="24"/>
          <w:lang w:val="cs-CZ"/>
        </w:rPr>
      </w:pPr>
      <w:r>
        <w:rPr>
          <w:sz w:val="24"/>
          <w:szCs w:val="24"/>
          <w:lang w:val="cs-CZ"/>
        </w:rPr>
        <w:t xml:space="preserve">Vzhledem k našemu zadání jsme se dále zabývali položkou </w:t>
      </w:r>
      <w:proofErr w:type="spellStart"/>
      <w:r>
        <w:rPr>
          <w:sz w:val="24"/>
          <w:szCs w:val="24"/>
          <w:lang w:val="cs-CZ"/>
        </w:rPr>
        <w:t>Education</w:t>
      </w:r>
      <w:proofErr w:type="spellEnd"/>
      <w:r>
        <w:rPr>
          <w:sz w:val="24"/>
          <w:szCs w:val="24"/>
          <w:lang w:val="cs-CZ"/>
        </w:rPr>
        <w:t xml:space="preserve"> – Vzdělání a položkou </w:t>
      </w:r>
      <w:proofErr w:type="spellStart"/>
      <w:r>
        <w:rPr>
          <w:sz w:val="24"/>
          <w:szCs w:val="24"/>
          <w:lang w:val="cs-CZ"/>
        </w:rPr>
        <w:t>Research</w:t>
      </w:r>
      <w:proofErr w:type="spellEnd"/>
      <w:r>
        <w:rPr>
          <w:sz w:val="24"/>
          <w:szCs w:val="24"/>
          <w:lang w:val="cs-CZ"/>
        </w:rPr>
        <w:t xml:space="preserve"> – Výzkum.</w:t>
      </w:r>
    </w:p>
    <w:p w:rsidR="00AB2346" w:rsidRDefault="00AB2346">
      <w:pPr>
        <w:rPr>
          <w:sz w:val="24"/>
          <w:szCs w:val="24"/>
          <w:lang w:val="cs-CZ"/>
        </w:rPr>
      </w:pPr>
      <w:r>
        <w:rPr>
          <w:sz w:val="24"/>
          <w:szCs w:val="24"/>
          <w:lang w:val="cs-CZ"/>
        </w:rPr>
        <w:t xml:space="preserve">V položce </w:t>
      </w:r>
      <w:proofErr w:type="spellStart"/>
      <w:r>
        <w:rPr>
          <w:sz w:val="24"/>
          <w:szCs w:val="24"/>
          <w:lang w:val="cs-CZ"/>
        </w:rPr>
        <w:t>Education</w:t>
      </w:r>
      <w:proofErr w:type="spellEnd"/>
      <w:r>
        <w:rPr>
          <w:sz w:val="24"/>
          <w:szCs w:val="24"/>
          <w:lang w:val="cs-CZ"/>
        </w:rPr>
        <w:t xml:space="preserve"> je podrobný popis studijního systému </w:t>
      </w:r>
    </w:p>
    <w:p w:rsid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16" w:history="1">
        <w:r w:rsidR="002C46AA" w:rsidRPr="002C46AA">
          <w:rPr>
            <w:rFonts w:ascii="Arial" w:eastAsia="Times New Roman" w:hAnsi="Arial" w:cs="Arial"/>
            <w:color w:val="000000"/>
            <w:sz w:val="18"/>
            <w:szCs w:val="18"/>
            <w:lang w:val="en-GB"/>
          </w:rPr>
          <w:t>Education Policy</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17" w:history="1">
        <w:r w:rsidR="002C46AA" w:rsidRPr="002C46AA">
          <w:rPr>
            <w:rFonts w:ascii="Arial" w:eastAsia="Times New Roman" w:hAnsi="Arial" w:cs="Arial"/>
            <w:color w:val="000000"/>
            <w:sz w:val="18"/>
            <w:szCs w:val="18"/>
            <w:lang w:val="en-GB"/>
          </w:rPr>
          <w:t>Objectives and programmes</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18" w:history="1">
        <w:r w:rsidR="002C46AA" w:rsidRPr="002C46AA">
          <w:rPr>
            <w:rFonts w:ascii="Arial" w:eastAsia="Times New Roman" w:hAnsi="Arial" w:cs="Arial"/>
            <w:color w:val="000000"/>
            <w:sz w:val="18"/>
            <w:szCs w:val="18"/>
            <w:lang w:val="en-GB"/>
          </w:rPr>
          <w:t>Legislation</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19" w:history="1">
        <w:r w:rsidR="002C46AA" w:rsidRPr="002C46AA">
          <w:rPr>
            <w:rFonts w:ascii="Arial" w:eastAsia="Times New Roman" w:hAnsi="Arial" w:cs="Arial"/>
            <w:color w:val="000000"/>
            <w:sz w:val="18"/>
            <w:szCs w:val="18"/>
            <w:lang w:val="en-GB"/>
          </w:rPr>
          <w:t>Financing</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20" w:history="1">
        <w:r w:rsidR="002C46AA" w:rsidRPr="002C46AA">
          <w:rPr>
            <w:rFonts w:ascii="Arial" w:eastAsia="Times New Roman" w:hAnsi="Arial" w:cs="Arial"/>
            <w:color w:val="A66F1D"/>
            <w:sz w:val="18"/>
            <w:szCs w:val="18"/>
            <w:lang w:val="en-GB"/>
          </w:rPr>
          <w:t>Evaluation</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21" w:history="1">
        <w:r w:rsidR="002C46AA" w:rsidRPr="002C46AA">
          <w:rPr>
            <w:rFonts w:ascii="Arial" w:eastAsia="Times New Roman" w:hAnsi="Arial" w:cs="Arial"/>
            <w:color w:val="000000"/>
            <w:sz w:val="18"/>
            <w:szCs w:val="18"/>
            <w:lang w:val="en-GB"/>
          </w:rPr>
          <w:t>Educational foresights</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22" w:history="1">
        <w:r w:rsidR="002C46AA" w:rsidRPr="002C46AA">
          <w:rPr>
            <w:rFonts w:ascii="Arial" w:eastAsia="Times New Roman" w:hAnsi="Arial" w:cs="Arial"/>
            <w:color w:val="000000"/>
            <w:sz w:val="18"/>
            <w:szCs w:val="18"/>
            <w:lang w:val="en-GB"/>
          </w:rPr>
          <w:t>International cooperation</w:t>
        </w:r>
      </w:hyperlink>
    </w:p>
    <w:p w:rsid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23" w:history="1">
        <w:r w:rsidR="002C46AA" w:rsidRPr="002C46AA">
          <w:rPr>
            <w:rFonts w:ascii="Arial" w:eastAsia="Times New Roman" w:hAnsi="Arial" w:cs="Arial"/>
            <w:color w:val="A66F1D"/>
            <w:sz w:val="18"/>
            <w:szCs w:val="18"/>
            <w:lang w:val="en-GB"/>
          </w:rPr>
          <w:t>Education system</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24" w:history="1">
        <w:r w:rsidR="002C46AA" w:rsidRPr="002C46AA">
          <w:rPr>
            <w:rFonts w:ascii="Arial" w:eastAsia="Times New Roman" w:hAnsi="Arial" w:cs="Arial"/>
            <w:color w:val="000000"/>
            <w:sz w:val="18"/>
            <w:szCs w:val="18"/>
            <w:lang w:val="en-GB"/>
          </w:rPr>
          <w:t>Degrees and studies</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25" w:history="1">
        <w:r w:rsidR="002C46AA" w:rsidRPr="002C46AA">
          <w:rPr>
            <w:rFonts w:ascii="Arial" w:eastAsia="Times New Roman" w:hAnsi="Arial" w:cs="Arial"/>
            <w:color w:val="000000"/>
            <w:sz w:val="18"/>
            <w:szCs w:val="18"/>
            <w:lang w:val="en-GB"/>
          </w:rPr>
          <w:t>How to apply?</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26" w:history="1">
        <w:r w:rsidR="002C46AA" w:rsidRPr="002C46AA">
          <w:rPr>
            <w:rFonts w:ascii="Arial" w:eastAsia="Times New Roman" w:hAnsi="Arial" w:cs="Arial"/>
            <w:color w:val="000000"/>
            <w:sz w:val="18"/>
            <w:szCs w:val="18"/>
            <w:lang w:val="en-GB"/>
          </w:rPr>
          <w:t>Recognition of diplomas and degrees</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27" w:history="1">
        <w:r w:rsidR="002C46AA" w:rsidRPr="002C46AA">
          <w:rPr>
            <w:rFonts w:ascii="Arial" w:eastAsia="Times New Roman" w:hAnsi="Arial" w:cs="Arial"/>
            <w:color w:val="000000"/>
            <w:sz w:val="18"/>
            <w:szCs w:val="18"/>
            <w:lang w:val="en-GB"/>
          </w:rPr>
          <w:t>Administration</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28" w:history="1">
        <w:r w:rsidR="002C46AA" w:rsidRPr="002C46AA">
          <w:rPr>
            <w:rFonts w:ascii="Arial" w:eastAsia="Times New Roman" w:hAnsi="Arial" w:cs="Arial"/>
            <w:color w:val="000000"/>
            <w:sz w:val="18"/>
            <w:szCs w:val="18"/>
            <w:lang w:val="en-GB"/>
          </w:rPr>
          <w:t>Education Statistics</w:t>
        </w:r>
      </w:hyperlink>
    </w:p>
    <w:p w:rsidR="002C46AA" w:rsidRPr="002C46AA" w:rsidRDefault="007904D8" w:rsidP="002C46AA">
      <w:pPr>
        <w:numPr>
          <w:ilvl w:val="1"/>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29" w:history="1">
        <w:r w:rsidR="002C46AA" w:rsidRPr="002C46AA">
          <w:rPr>
            <w:rFonts w:ascii="Arial" w:eastAsia="Times New Roman" w:hAnsi="Arial" w:cs="Arial"/>
            <w:color w:val="000000"/>
            <w:sz w:val="18"/>
            <w:szCs w:val="18"/>
            <w:lang w:val="en-GB"/>
          </w:rPr>
          <w:t>Degrees and studies</w:t>
        </w:r>
      </w:hyperlink>
    </w:p>
    <w:p w:rsidR="002C46AA" w:rsidRPr="002C46AA" w:rsidRDefault="007904D8" w:rsidP="002C46AA">
      <w:pPr>
        <w:numPr>
          <w:ilvl w:val="1"/>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0" w:history="1">
        <w:r w:rsidR="002C46AA" w:rsidRPr="002C46AA">
          <w:rPr>
            <w:rFonts w:ascii="Arial" w:eastAsia="Times New Roman" w:hAnsi="Arial" w:cs="Arial"/>
            <w:color w:val="000000"/>
            <w:sz w:val="18"/>
            <w:szCs w:val="18"/>
            <w:lang w:val="en-GB"/>
          </w:rPr>
          <w:t>How to apply?</w:t>
        </w:r>
      </w:hyperlink>
    </w:p>
    <w:p w:rsidR="002C46AA" w:rsidRPr="002C46AA" w:rsidRDefault="007904D8" w:rsidP="002C46AA">
      <w:pPr>
        <w:numPr>
          <w:ilvl w:val="1"/>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1" w:history="1">
        <w:r w:rsidR="002C46AA" w:rsidRPr="002C46AA">
          <w:rPr>
            <w:rFonts w:ascii="Arial" w:eastAsia="Times New Roman" w:hAnsi="Arial" w:cs="Arial"/>
            <w:color w:val="000000"/>
            <w:sz w:val="18"/>
            <w:szCs w:val="18"/>
            <w:lang w:val="en-GB"/>
          </w:rPr>
          <w:t>Recognition of diplomas and degrees</w:t>
        </w:r>
      </w:hyperlink>
    </w:p>
    <w:p w:rsidR="002C46AA" w:rsidRPr="002C46AA" w:rsidRDefault="007904D8" w:rsidP="002C46AA">
      <w:pPr>
        <w:numPr>
          <w:ilvl w:val="1"/>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2" w:history="1">
        <w:r w:rsidR="002C46AA" w:rsidRPr="002C46AA">
          <w:rPr>
            <w:rFonts w:ascii="Arial" w:eastAsia="Times New Roman" w:hAnsi="Arial" w:cs="Arial"/>
            <w:color w:val="000000"/>
            <w:sz w:val="18"/>
            <w:szCs w:val="18"/>
            <w:lang w:val="en-GB"/>
          </w:rPr>
          <w:t>Administration</w:t>
        </w:r>
      </w:hyperlink>
    </w:p>
    <w:p w:rsidR="002C46AA" w:rsidRPr="002C46AA" w:rsidRDefault="007904D8" w:rsidP="002C46AA">
      <w:pPr>
        <w:numPr>
          <w:ilvl w:val="1"/>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3" w:history="1">
        <w:r w:rsidR="002C46AA" w:rsidRPr="002C46AA">
          <w:rPr>
            <w:rFonts w:ascii="Arial" w:eastAsia="Times New Roman" w:hAnsi="Arial" w:cs="Arial"/>
            <w:color w:val="000000"/>
            <w:sz w:val="18"/>
            <w:szCs w:val="18"/>
            <w:lang w:val="en-GB"/>
          </w:rPr>
          <w:t>Education Statistics</w:t>
        </w:r>
      </w:hyperlink>
    </w:p>
    <w:p w:rsidR="002C46AA" w:rsidRP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4" w:history="1">
        <w:r w:rsidR="002C46AA" w:rsidRPr="002C46AA">
          <w:rPr>
            <w:rFonts w:ascii="Arial" w:eastAsia="Times New Roman" w:hAnsi="Arial" w:cs="Arial"/>
            <w:color w:val="000000"/>
            <w:sz w:val="18"/>
            <w:szCs w:val="18"/>
            <w:lang w:val="en-GB"/>
          </w:rPr>
          <w:t>Child day care</w:t>
        </w:r>
      </w:hyperlink>
    </w:p>
    <w:p w:rsidR="002C46AA" w:rsidRP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5" w:history="1">
        <w:r w:rsidR="002C46AA" w:rsidRPr="002C46AA">
          <w:rPr>
            <w:rFonts w:ascii="Arial" w:eastAsia="Times New Roman" w:hAnsi="Arial" w:cs="Arial"/>
            <w:color w:val="000000"/>
            <w:sz w:val="18"/>
            <w:szCs w:val="18"/>
            <w:lang w:val="en-GB"/>
          </w:rPr>
          <w:t>Pre-primary education</w:t>
        </w:r>
      </w:hyperlink>
    </w:p>
    <w:p w:rsidR="002C46AA" w:rsidRP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6" w:history="1">
        <w:r w:rsidR="002C46AA" w:rsidRPr="002C46AA">
          <w:rPr>
            <w:rFonts w:ascii="Arial" w:eastAsia="Times New Roman" w:hAnsi="Arial" w:cs="Arial"/>
            <w:color w:val="000000"/>
            <w:sz w:val="18"/>
            <w:szCs w:val="18"/>
            <w:lang w:val="en-GB"/>
          </w:rPr>
          <w:t>Basic education</w:t>
        </w:r>
      </w:hyperlink>
    </w:p>
    <w:p w:rsidR="002C46AA" w:rsidRP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7" w:history="1">
        <w:r w:rsidR="002C46AA" w:rsidRPr="002C46AA">
          <w:rPr>
            <w:rFonts w:ascii="Arial" w:eastAsia="Times New Roman" w:hAnsi="Arial" w:cs="Arial"/>
            <w:color w:val="000000"/>
            <w:sz w:val="18"/>
            <w:szCs w:val="18"/>
            <w:lang w:val="en-GB"/>
          </w:rPr>
          <w:t>General upper secondary education</w:t>
        </w:r>
      </w:hyperlink>
    </w:p>
    <w:p w:rsidR="002C46AA" w:rsidRP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8" w:history="1">
        <w:r w:rsidR="002C46AA" w:rsidRPr="002C46AA">
          <w:rPr>
            <w:rFonts w:ascii="Arial" w:eastAsia="Times New Roman" w:hAnsi="Arial" w:cs="Arial"/>
            <w:color w:val="000000"/>
            <w:sz w:val="18"/>
            <w:szCs w:val="18"/>
            <w:lang w:val="en-GB"/>
          </w:rPr>
          <w:t>Vocational education and training</w:t>
        </w:r>
      </w:hyperlink>
    </w:p>
    <w:p w:rsid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39" w:history="1">
        <w:r w:rsidR="002C46AA" w:rsidRPr="002C46AA">
          <w:rPr>
            <w:rFonts w:ascii="Arial" w:eastAsia="Times New Roman" w:hAnsi="Arial" w:cs="Arial"/>
            <w:color w:val="000000"/>
            <w:sz w:val="18"/>
            <w:szCs w:val="18"/>
            <w:lang w:val="en-GB"/>
          </w:rPr>
          <w:t>Polytechnic education</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40" w:history="1">
        <w:r w:rsidR="002C46AA" w:rsidRPr="002C46AA">
          <w:rPr>
            <w:rFonts w:ascii="Arial" w:eastAsia="Times New Roman" w:hAnsi="Arial" w:cs="Arial"/>
            <w:color w:val="000000"/>
            <w:sz w:val="18"/>
            <w:szCs w:val="18"/>
            <w:lang w:val="en-GB"/>
          </w:rPr>
          <w:t>Administration and finance</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41" w:history="1">
        <w:r w:rsidR="002C46AA" w:rsidRPr="002C46AA">
          <w:rPr>
            <w:rFonts w:ascii="Arial" w:eastAsia="Times New Roman" w:hAnsi="Arial" w:cs="Arial"/>
            <w:color w:val="000000"/>
            <w:sz w:val="18"/>
            <w:szCs w:val="18"/>
            <w:lang w:val="en-GB"/>
          </w:rPr>
          <w:t>Polytechnics</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42" w:history="1">
        <w:r w:rsidR="002C46AA" w:rsidRPr="002C46AA">
          <w:rPr>
            <w:rFonts w:ascii="Arial" w:eastAsia="Times New Roman" w:hAnsi="Arial" w:cs="Arial"/>
            <w:color w:val="000000"/>
            <w:sz w:val="18"/>
            <w:szCs w:val="18"/>
            <w:lang w:val="en-GB"/>
          </w:rPr>
          <w:t>Studies and degrees</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43" w:history="1">
        <w:r w:rsidR="002C46AA" w:rsidRPr="002C46AA">
          <w:rPr>
            <w:rFonts w:ascii="Arial" w:eastAsia="Times New Roman" w:hAnsi="Arial" w:cs="Arial"/>
            <w:color w:val="000000"/>
            <w:sz w:val="18"/>
            <w:szCs w:val="18"/>
            <w:lang w:val="en-GB"/>
          </w:rPr>
          <w:t>Polytechnic R&amp;D</w:t>
        </w:r>
      </w:hyperlink>
    </w:p>
    <w:p w:rsid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44" w:history="1">
        <w:r w:rsidR="002C46AA" w:rsidRPr="002C46AA">
          <w:rPr>
            <w:rFonts w:ascii="Arial" w:eastAsia="Times New Roman" w:hAnsi="Arial" w:cs="Arial"/>
            <w:color w:val="000000"/>
            <w:sz w:val="18"/>
            <w:szCs w:val="18"/>
            <w:lang w:val="en-GB"/>
          </w:rPr>
          <w:t>University education</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45" w:history="1">
        <w:r w:rsidR="002C46AA" w:rsidRPr="002C46AA">
          <w:rPr>
            <w:rFonts w:ascii="Arial" w:eastAsia="Times New Roman" w:hAnsi="Arial" w:cs="Arial"/>
            <w:color w:val="000000"/>
            <w:sz w:val="18"/>
            <w:szCs w:val="18"/>
            <w:lang w:val="en-GB"/>
          </w:rPr>
          <w:t>Administration</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46" w:history="1">
        <w:r w:rsidR="002C46AA" w:rsidRPr="002C46AA">
          <w:rPr>
            <w:rFonts w:ascii="Arial" w:eastAsia="Times New Roman" w:hAnsi="Arial" w:cs="Arial"/>
            <w:color w:val="000000"/>
            <w:sz w:val="18"/>
            <w:szCs w:val="18"/>
            <w:lang w:val="en-GB"/>
          </w:rPr>
          <w:t>Universities</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47" w:history="1">
        <w:r w:rsidR="002C46AA" w:rsidRPr="002C46AA">
          <w:rPr>
            <w:rFonts w:ascii="Arial" w:eastAsia="Times New Roman" w:hAnsi="Arial" w:cs="Arial"/>
            <w:color w:val="000000"/>
            <w:sz w:val="18"/>
            <w:szCs w:val="18"/>
            <w:lang w:val="en-GB"/>
          </w:rPr>
          <w:t>Studies and degrees</w:t>
        </w:r>
      </w:hyperlink>
    </w:p>
    <w:p w:rsidR="002C46AA" w:rsidRPr="002C46AA" w:rsidRDefault="007904D8" w:rsidP="002C46AA">
      <w:pPr>
        <w:numPr>
          <w:ilvl w:val="1"/>
          <w:numId w:val="21"/>
        </w:numPr>
        <w:shd w:val="clear" w:color="auto" w:fill="FFFFFF"/>
        <w:spacing w:before="100" w:beforeAutospacing="1" w:after="100" w:afterAutospacing="1" w:line="312" w:lineRule="atLeast"/>
        <w:rPr>
          <w:rFonts w:ascii="Arial" w:eastAsia="Times New Roman" w:hAnsi="Arial" w:cs="Arial"/>
          <w:sz w:val="18"/>
          <w:szCs w:val="18"/>
          <w:lang w:val="en-GB"/>
        </w:rPr>
      </w:pPr>
      <w:hyperlink r:id="rId48" w:history="1">
        <w:r w:rsidR="002C46AA" w:rsidRPr="002C46AA">
          <w:rPr>
            <w:rFonts w:ascii="Arial" w:eastAsia="Times New Roman" w:hAnsi="Arial" w:cs="Arial"/>
            <w:color w:val="000000"/>
            <w:sz w:val="18"/>
            <w:szCs w:val="18"/>
            <w:lang w:val="en-GB"/>
          </w:rPr>
          <w:t>Statistics</w:t>
        </w:r>
      </w:hyperlink>
    </w:p>
    <w:p w:rsidR="002C46AA" w:rsidRPr="002C46AA" w:rsidRDefault="002C46AA" w:rsidP="002C46AA">
      <w:pPr>
        <w:shd w:val="clear" w:color="auto" w:fill="FFFFFF"/>
        <w:spacing w:before="100" w:beforeAutospacing="1" w:after="100" w:afterAutospacing="1" w:line="312" w:lineRule="atLeast"/>
        <w:rPr>
          <w:rFonts w:ascii="Arial" w:eastAsia="Times New Roman" w:hAnsi="Arial" w:cs="Arial"/>
          <w:sz w:val="18"/>
          <w:szCs w:val="18"/>
          <w:lang w:val="en-GB"/>
        </w:rPr>
      </w:pPr>
    </w:p>
    <w:p w:rsidR="002C46AA" w:rsidRP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49" w:history="1">
        <w:r w:rsidR="002C46AA" w:rsidRPr="002C46AA">
          <w:rPr>
            <w:rFonts w:ascii="Arial" w:eastAsia="Times New Roman" w:hAnsi="Arial" w:cs="Arial"/>
            <w:color w:val="000000"/>
            <w:sz w:val="18"/>
            <w:szCs w:val="18"/>
            <w:lang w:val="en-GB"/>
          </w:rPr>
          <w:t>Adult education</w:t>
        </w:r>
      </w:hyperlink>
    </w:p>
    <w:p w:rsidR="002C46AA" w:rsidRDefault="007904D8" w:rsidP="002C46AA">
      <w:pPr>
        <w:numPr>
          <w:ilvl w:val="0"/>
          <w:numId w:val="21"/>
        </w:numPr>
        <w:shd w:val="clear" w:color="auto" w:fill="FFFFFF"/>
        <w:spacing w:before="100" w:beforeAutospacing="1" w:after="100" w:afterAutospacing="1" w:line="312" w:lineRule="atLeast"/>
        <w:ind w:left="0"/>
        <w:rPr>
          <w:rFonts w:ascii="Arial" w:eastAsia="Times New Roman" w:hAnsi="Arial" w:cs="Arial"/>
          <w:sz w:val="18"/>
          <w:szCs w:val="18"/>
          <w:lang w:val="en-GB"/>
        </w:rPr>
      </w:pPr>
      <w:hyperlink r:id="rId50" w:history="1">
        <w:r w:rsidR="002C46AA" w:rsidRPr="002C46AA">
          <w:rPr>
            <w:rFonts w:ascii="Arial" w:eastAsia="Times New Roman" w:hAnsi="Arial" w:cs="Arial"/>
            <w:color w:val="000000"/>
            <w:sz w:val="18"/>
            <w:szCs w:val="18"/>
            <w:lang w:val="en-GB"/>
          </w:rPr>
          <w:t>Student financial aid</w:t>
        </w:r>
      </w:hyperlink>
    </w:p>
    <w:p w:rsidR="002C46AA" w:rsidRDefault="002C46AA" w:rsidP="002C46AA">
      <w:pPr>
        <w:shd w:val="clear" w:color="auto" w:fill="FFFFFF"/>
        <w:spacing w:before="100" w:beforeAutospacing="1" w:after="100" w:afterAutospacing="1" w:line="312" w:lineRule="atLeast"/>
        <w:rPr>
          <w:rFonts w:ascii="Arial" w:eastAsia="Times New Roman" w:hAnsi="Arial" w:cs="Arial"/>
          <w:sz w:val="18"/>
          <w:szCs w:val="18"/>
          <w:lang w:val="en-GB"/>
        </w:rPr>
      </w:pPr>
      <w:proofErr w:type="spellStart"/>
      <w:r>
        <w:rPr>
          <w:rFonts w:ascii="Arial" w:eastAsia="Times New Roman" w:hAnsi="Arial" w:cs="Arial"/>
          <w:sz w:val="18"/>
          <w:szCs w:val="18"/>
          <w:lang w:val="en-GB"/>
        </w:rPr>
        <w:t>Kde</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nás</w:t>
      </w:r>
      <w:proofErr w:type="spellEnd"/>
      <w:r>
        <w:rPr>
          <w:rFonts w:ascii="Arial" w:eastAsia="Times New Roman" w:hAnsi="Arial" w:cs="Arial"/>
          <w:sz w:val="18"/>
          <w:szCs w:val="18"/>
          <w:lang w:val="en-GB"/>
        </w:rPr>
        <w:t xml:space="preserve"> v </w:t>
      </w:r>
      <w:proofErr w:type="spellStart"/>
      <w:r>
        <w:rPr>
          <w:rFonts w:ascii="Arial" w:eastAsia="Times New Roman" w:hAnsi="Arial" w:cs="Arial"/>
          <w:sz w:val="18"/>
          <w:szCs w:val="18"/>
          <w:lang w:val="en-GB"/>
        </w:rPr>
        <w:t>položce</w:t>
      </w:r>
      <w:proofErr w:type="spellEnd"/>
      <w:r>
        <w:rPr>
          <w:rFonts w:ascii="Arial" w:eastAsia="Times New Roman" w:hAnsi="Arial" w:cs="Arial"/>
          <w:sz w:val="18"/>
          <w:szCs w:val="18"/>
          <w:lang w:val="en-GB"/>
        </w:rPr>
        <w:t xml:space="preserve"> Educational Policy /Evaluation </w:t>
      </w:r>
      <w:proofErr w:type="spellStart"/>
      <w:r>
        <w:rPr>
          <w:rFonts w:ascii="Arial" w:eastAsia="Times New Roman" w:hAnsi="Arial" w:cs="Arial"/>
          <w:sz w:val="18"/>
          <w:szCs w:val="18"/>
          <w:lang w:val="en-GB"/>
        </w:rPr>
        <w:t>čili</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hodnocení</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škol</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zajímá</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systematika</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hodnocení</w:t>
      </w:r>
      <w:proofErr w:type="spellEnd"/>
      <w:r>
        <w:rPr>
          <w:rFonts w:ascii="Arial" w:eastAsia="Times New Roman" w:hAnsi="Arial" w:cs="Arial"/>
          <w:sz w:val="18"/>
          <w:szCs w:val="18"/>
          <w:lang w:val="en-GB"/>
        </w:rPr>
        <w:t>.</w:t>
      </w:r>
    </w:p>
    <w:p w:rsidR="002C46AA" w:rsidRDefault="002C46AA" w:rsidP="002C46AA">
      <w:pPr>
        <w:shd w:val="clear" w:color="auto" w:fill="FFFFFF"/>
        <w:spacing w:before="100" w:beforeAutospacing="1" w:after="100" w:afterAutospacing="1" w:line="312" w:lineRule="atLeast"/>
        <w:rPr>
          <w:rFonts w:ascii="Arial" w:eastAsia="Times New Roman" w:hAnsi="Arial" w:cs="Arial"/>
          <w:sz w:val="18"/>
          <w:szCs w:val="18"/>
          <w:lang w:val="en-GB"/>
        </w:rPr>
      </w:pPr>
      <w:proofErr w:type="spellStart"/>
      <w:r>
        <w:rPr>
          <w:rFonts w:ascii="Arial" w:eastAsia="Times New Roman" w:hAnsi="Arial" w:cs="Arial"/>
          <w:sz w:val="18"/>
          <w:szCs w:val="18"/>
          <w:lang w:val="en-GB"/>
        </w:rPr>
        <w:t>Zde</w:t>
      </w:r>
      <w:proofErr w:type="spellEnd"/>
      <w:r>
        <w:rPr>
          <w:rFonts w:ascii="Arial" w:eastAsia="Times New Roman" w:hAnsi="Arial" w:cs="Arial"/>
          <w:sz w:val="18"/>
          <w:szCs w:val="18"/>
          <w:lang w:val="en-GB"/>
        </w:rPr>
        <w:t xml:space="preserve"> je </w:t>
      </w:r>
      <w:proofErr w:type="spellStart"/>
      <w:r>
        <w:rPr>
          <w:rFonts w:ascii="Arial" w:eastAsia="Times New Roman" w:hAnsi="Arial" w:cs="Arial"/>
          <w:sz w:val="18"/>
          <w:szCs w:val="18"/>
          <w:lang w:val="en-GB"/>
        </w:rPr>
        <w:t>uveřejněn</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plán</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hodnocení</w:t>
      </w:r>
      <w:proofErr w:type="spellEnd"/>
      <w:r>
        <w:rPr>
          <w:rFonts w:ascii="Arial" w:eastAsia="Times New Roman" w:hAnsi="Arial" w:cs="Arial"/>
          <w:sz w:val="18"/>
          <w:szCs w:val="18"/>
          <w:lang w:val="en-GB"/>
        </w:rPr>
        <w:t xml:space="preserve"> </w:t>
      </w:r>
      <w:proofErr w:type="spellStart"/>
      <w:proofErr w:type="gramStart"/>
      <w:r>
        <w:rPr>
          <w:rFonts w:ascii="Arial" w:eastAsia="Times New Roman" w:hAnsi="Arial" w:cs="Arial"/>
          <w:sz w:val="18"/>
          <w:szCs w:val="18"/>
          <w:lang w:val="en-GB"/>
        </w:rPr>
        <w:t>na</w:t>
      </w:r>
      <w:proofErr w:type="spellEnd"/>
      <w:proofErr w:type="gram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roky</w:t>
      </w:r>
      <w:proofErr w:type="spellEnd"/>
      <w:r>
        <w:rPr>
          <w:rFonts w:ascii="Arial" w:eastAsia="Times New Roman" w:hAnsi="Arial" w:cs="Arial"/>
          <w:sz w:val="18"/>
          <w:szCs w:val="18"/>
          <w:lang w:val="en-GB"/>
        </w:rPr>
        <w:t xml:space="preserve"> 2012-2015, </w:t>
      </w:r>
      <w:proofErr w:type="spellStart"/>
      <w:r>
        <w:rPr>
          <w:rFonts w:ascii="Arial" w:eastAsia="Times New Roman" w:hAnsi="Arial" w:cs="Arial"/>
          <w:sz w:val="18"/>
          <w:szCs w:val="18"/>
          <w:lang w:val="en-GB"/>
        </w:rPr>
        <w:t>viz</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příloha</w:t>
      </w:r>
      <w:proofErr w:type="spellEnd"/>
      <w:r>
        <w:rPr>
          <w:rFonts w:ascii="Arial" w:eastAsia="Times New Roman" w:hAnsi="Arial" w:cs="Arial"/>
          <w:sz w:val="18"/>
          <w:szCs w:val="18"/>
          <w:lang w:val="en-GB"/>
        </w:rPr>
        <w:t>.</w:t>
      </w:r>
    </w:p>
    <w:p w:rsidR="002C46AA" w:rsidRDefault="002C46AA" w:rsidP="002C46AA">
      <w:pPr>
        <w:shd w:val="clear" w:color="auto" w:fill="FFFFFF"/>
        <w:spacing w:before="100" w:beforeAutospacing="1" w:after="100" w:afterAutospacing="1" w:line="312" w:lineRule="atLeast"/>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Pro </w:t>
      </w:r>
      <w:proofErr w:type="spellStart"/>
      <w:r>
        <w:rPr>
          <w:rFonts w:ascii="Arial" w:eastAsia="Times New Roman" w:hAnsi="Arial" w:cs="Arial"/>
          <w:sz w:val="18"/>
          <w:szCs w:val="18"/>
          <w:lang w:val="en-GB"/>
        </w:rPr>
        <w:t>vlastní</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hodnocení</w:t>
      </w:r>
      <w:proofErr w:type="spellEnd"/>
      <w:r>
        <w:rPr>
          <w:rFonts w:ascii="Arial" w:eastAsia="Times New Roman" w:hAnsi="Arial" w:cs="Arial"/>
          <w:sz w:val="18"/>
          <w:szCs w:val="18"/>
          <w:lang w:val="en-GB"/>
        </w:rPr>
        <w:t xml:space="preserve"> je </w:t>
      </w:r>
      <w:proofErr w:type="spellStart"/>
      <w:proofErr w:type="gramStart"/>
      <w:r>
        <w:rPr>
          <w:rFonts w:ascii="Arial" w:eastAsia="Times New Roman" w:hAnsi="Arial" w:cs="Arial"/>
          <w:sz w:val="18"/>
          <w:szCs w:val="18"/>
          <w:lang w:val="en-GB"/>
        </w:rPr>
        <w:t>použit</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systémy</w:t>
      </w:r>
      <w:proofErr w:type="spellEnd"/>
      <w:proofErr w:type="gramEnd"/>
      <w:r>
        <w:rPr>
          <w:rFonts w:ascii="Arial" w:eastAsia="Times New Roman" w:hAnsi="Arial" w:cs="Arial"/>
          <w:sz w:val="18"/>
          <w:szCs w:val="18"/>
          <w:lang w:val="en-GB"/>
        </w:rPr>
        <w:t xml:space="preserve"> OECD PISA a PIAAC. </w:t>
      </w:r>
      <w:proofErr w:type="spellStart"/>
      <w:r>
        <w:rPr>
          <w:rFonts w:ascii="Arial" w:eastAsia="Times New Roman" w:hAnsi="Arial" w:cs="Arial"/>
          <w:sz w:val="18"/>
          <w:szCs w:val="18"/>
          <w:lang w:val="en-GB"/>
        </w:rPr>
        <w:t>Tyto</w:t>
      </w:r>
      <w:proofErr w:type="spellEnd"/>
      <w:r>
        <w:rPr>
          <w:rFonts w:ascii="Arial" w:eastAsia="Times New Roman" w:hAnsi="Arial" w:cs="Arial"/>
          <w:sz w:val="18"/>
          <w:szCs w:val="18"/>
          <w:lang w:val="en-GB"/>
        </w:rPr>
        <w:t xml:space="preserve"> system </w:t>
      </w:r>
      <w:proofErr w:type="spellStart"/>
      <w:r>
        <w:rPr>
          <w:rFonts w:ascii="Arial" w:eastAsia="Times New Roman" w:hAnsi="Arial" w:cs="Arial"/>
          <w:sz w:val="18"/>
          <w:szCs w:val="18"/>
          <w:lang w:val="en-GB"/>
        </w:rPr>
        <w:t>budou</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rozebírány</w:t>
      </w:r>
      <w:proofErr w:type="spellEnd"/>
      <w:r>
        <w:rPr>
          <w:rFonts w:ascii="Arial" w:eastAsia="Times New Roman" w:hAnsi="Arial" w:cs="Arial"/>
          <w:sz w:val="18"/>
          <w:szCs w:val="18"/>
          <w:lang w:val="en-GB"/>
        </w:rPr>
        <w:t xml:space="preserve"> a </w:t>
      </w:r>
      <w:proofErr w:type="spellStart"/>
      <w:proofErr w:type="gramStart"/>
      <w:r>
        <w:rPr>
          <w:rFonts w:ascii="Arial" w:eastAsia="Times New Roman" w:hAnsi="Arial" w:cs="Arial"/>
          <w:sz w:val="18"/>
          <w:szCs w:val="18"/>
          <w:lang w:val="en-GB"/>
        </w:rPr>
        <w:t>popsány</w:t>
      </w:r>
      <w:proofErr w:type="spellEnd"/>
      <w:r>
        <w:rPr>
          <w:rFonts w:ascii="Arial" w:eastAsia="Times New Roman" w:hAnsi="Arial" w:cs="Arial"/>
          <w:sz w:val="18"/>
          <w:szCs w:val="18"/>
          <w:lang w:val="en-GB"/>
        </w:rPr>
        <w:t xml:space="preserve">  v</w:t>
      </w:r>
      <w:proofErr w:type="gram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nejbližší</w:t>
      </w:r>
      <w:proofErr w:type="spellEnd"/>
      <w:r>
        <w:rPr>
          <w:rFonts w:ascii="Arial" w:eastAsia="Times New Roman" w:hAnsi="Arial" w:cs="Arial"/>
          <w:sz w:val="18"/>
          <w:szCs w:val="18"/>
          <w:lang w:val="en-GB"/>
        </w:rPr>
        <w:t xml:space="preserve"> </w:t>
      </w:r>
      <w:proofErr w:type="spellStart"/>
      <w:r>
        <w:rPr>
          <w:rFonts w:ascii="Arial" w:eastAsia="Times New Roman" w:hAnsi="Arial" w:cs="Arial"/>
          <w:sz w:val="18"/>
          <w:szCs w:val="18"/>
          <w:lang w:val="en-GB"/>
        </w:rPr>
        <w:t>době</w:t>
      </w:r>
      <w:proofErr w:type="spellEnd"/>
      <w:r>
        <w:rPr>
          <w:rFonts w:ascii="Arial" w:eastAsia="Times New Roman" w:hAnsi="Arial" w:cs="Arial"/>
          <w:sz w:val="18"/>
          <w:szCs w:val="18"/>
          <w:lang w:val="en-GB"/>
        </w:rPr>
        <w:t>.</w:t>
      </w:r>
    </w:p>
    <w:p w:rsidR="002C46AA" w:rsidRDefault="002C46AA" w:rsidP="002C46AA">
      <w:pPr>
        <w:shd w:val="clear" w:color="auto" w:fill="FFFFFF"/>
        <w:spacing w:after="150" w:line="288" w:lineRule="atLeast"/>
        <w:outlineLvl w:val="1"/>
        <w:rPr>
          <w:rFonts w:ascii="Verdana" w:hAnsi="Verdana" w:cs="Arial"/>
          <w:b/>
          <w:bCs/>
          <w:color w:val="65461B"/>
          <w:kern w:val="36"/>
        </w:rPr>
      </w:pPr>
      <w:r>
        <w:rPr>
          <w:rFonts w:ascii="Verdana" w:hAnsi="Verdana" w:cs="Arial"/>
          <w:b/>
          <w:bCs/>
          <w:color w:val="65461B"/>
          <w:kern w:val="36"/>
        </w:rPr>
        <w:t>Evaluation of education</w:t>
      </w:r>
    </w:p>
    <w:p w:rsidR="002C46AA" w:rsidRDefault="002C46AA" w:rsidP="002C46AA">
      <w:pPr>
        <w:shd w:val="clear" w:color="auto" w:fill="FFFFFF"/>
        <w:spacing w:after="0" w:line="312" w:lineRule="atLeast"/>
        <w:rPr>
          <w:rFonts w:ascii="Arial" w:hAnsi="Arial" w:cs="Arial"/>
          <w:sz w:val="18"/>
          <w:szCs w:val="18"/>
        </w:rPr>
      </w:pPr>
      <w:r>
        <w:rPr>
          <w:rFonts w:ascii="Arial" w:hAnsi="Arial" w:cs="Arial"/>
          <w:sz w:val="18"/>
          <w:szCs w:val="18"/>
        </w:rPr>
        <w:t>In Finland education is evaluated locally, regionally and nationally. Finland also takes part in international reviews.</w:t>
      </w:r>
    </w:p>
    <w:p w:rsidR="002C46AA" w:rsidRDefault="002C46AA" w:rsidP="002C46AA">
      <w:pPr>
        <w:shd w:val="clear" w:color="auto" w:fill="FFFFFF"/>
        <w:spacing w:line="312" w:lineRule="atLeast"/>
        <w:rPr>
          <w:rFonts w:ascii="Arial" w:hAnsi="Arial" w:cs="Arial"/>
          <w:sz w:val="18"/>
          <w:szCs w:val="18"/>
        </w:rPr>
      </w:pPr>
      <w:r>
        <w:rPr>
          <w:rFonts w:ascii="Arial" w:hAnsi="Arial" w:cs="Arial"/>
          <w:sz w:val="18"/>
          <w:szCs w:val="18"/>
        </w:rPr>
        <w:t>In Finland school inspections were abolished in the early 1990s. The ideology is to steer through information, support and funding. The activities of education providers are guided by objectives laid down in legislation as well as the national core curricula and qualification requirements. The system relies on the proficiency of teachers and other personnel.</w:t>
      </w:r>
    </w:p>
    <w:p w:rsidR="002C46AA" w:rsidRDefault="002C46AA" w:rsidP="002C46AA">
      <w:pPr>
        <w:shd w:val="clear" w:color="auto" w:fill="FFFFFF"/>
        <w:spacing w:line="312" w:lineRule="atLeast"/>
        <w:rPr>
          <w:rFonts w:ascii="Arial" w:hAnsi="Arial" w:cs="Arial"/>
          <w:sz w:val="18"/>
          <w:szCs w:val="18"/>
        </w:rPr>
      </w:pPr>
      <w:r>
        <w:rPr>
          <w:rFonts w:ascii="Arial" w:hAnsi="Arial" w:cs="Arial"/>
          <w:sz w:val="18"/>
          <w:szCs w:val="18"/>
        </w:rPr>
        <w:t>There is strong focus on both self-evaluation of schools and education providers and national evaluations of learning outcomes. National evaluations of learning outcomes are done regularly, so that there is a test every year either in mother tongue and literature or mathematics. Other subjects are evaluated according to the evaluation plan of the Ministry of Education and Culture. Not only academic subjects are evaluated but also subjects such as arts and crafts and cross-curricular themes.</w:t>
      </w:r>
    </w:p>
    <w:p w:rsidR="002C46AA" w:rsidRDefault="002C46AA" w:rsidP="002C46AA">
      <w:pPr>
        <w:shd w:val="clear" w:color="auto" w:fill="FFFFFF"/>
        <w:spacing w:line="312" w:lineRule="atLeast"/>
        <w:rPr>
          <w:rFonts w:ascii="Arial" w:hAnsi="Arial" w:cs="Arial"/>
          <w:sz w:val="18"/>
          <w:szCs w:val="18"/>
        </w:rPr>
      </w:pPr>
      <w:r>
        <w:rPr>
          <w:rFonts w:ascii="Arial" w:hAnsi="Arial" w:cs="Arial"/>
          <w:sz w:val="18"/>
          <w:szCs w:val="18"/>
        </w:rPr>
        <w:t>From the schools’ perspective, the evaluations are not regular as they are sample-based. The education providers receive their own results to be used for development purposes.</w:t>
      </w:r>
    </w:p>
    <w:p w:rsidR="002C46AA" w:rsidRDefault="002C46AA" w:rsidP="002C46AA">
      <w:pPr>
        <w:shd w:val="clear" w:color="auto" w:fill="FFFFFF"/>
        <w:spacing w:line="312" w:lineRule="atLeast"/>
        <w:rPr>
          <w:rFonts w:ascii="Arial" w:hAnsi="Arial" w:cs="Arial"/>
          <w:sz w:val="18"/>
          <w:szCs w:val="18"/>
        </w:rPr>
      </w:pPr>
      <w:r>
        <w:rPr>
          <w:rFonts w:ascii="Arial" w:hAnsi="Arial" w:cs="Arial"/>
          <w:sz w:val="18"/>
          <w:szCs w:val="18"/>
        </w:rPr>
        <w:t>The main aim of the national evaluations of learning outcomes is to follow at national level how well the objectives have been reached as set in the core curricula and qualification requirements. Consequently, the results are not used for ranking the schools.</w:t>
      </w:r>
    </w:p>
    <w:p w:rsidR="002C46AA" w:rsidRDefault="002C46AA" w:rsidP="002C46AA">
      <w:pPr>
        <w:shd w:val="clear" w:color="auto" w:fill="FFFFFF"/>
        <w:spacing w:line="312" w:lineRule="atLeast"/>
        <w:rPr>
          <w:rFonts w:ascii="Arial" w:hAnsi="Arial" w:cs="Arial"/>
          <w:sz w:val="18"/>
          <w:szCs w:val="18"/>
        </w:rPr>
      </w:pPr>
      <w:r>
        <w:rPr>
          <w:rFonts w:ascii="Arial" w:hAnsi="Arial" w:cs="Arial"/>
          <w:sz w:val="18"/>
          <w:szCs w:val="18"/>
        </w:rPr>
        <w:t>In higher education the polytechnics and universities are responsible for the evaluation of their own operations and outcomes. In this they also receive support from the Higher Education Evaluation Council.</w:t>
      </w:r>
    </w:p>
    <w:p w:rsidR="002C46AA" w:rsidRDefault="002C46AA" w:rsidP="002C46AA">
      <w:pPr>
        <w:shd w:val="clear" w:color="auto" w:fill="FFFFFF"/>
        <w:spacing w:after="150" w:line="288" w:lineRule="atLeast"/>
        <w:outlineLvl w:val="4"/>
        <w:rPr>
          <w:rFonts w:ascii="Verdana" w:hAnsi="Verdana" w:cs="Arial"/>
          <w:b/>
          <w:bCs/>
          <w:color w:val="65461B"/>
        </w:rPr>
      </w:pPr>
      <w:r>
        <w:rPr>
          <w:rFonts w:ascii="Verdana" w:hAnsi="Verdana" w:cs="Arial"/>
          <w:b/>
          <w:bCs/>
          <w:color w:val="65461B"/>
        </w:rPr>
        <w:t>Evaluation plan and evaluation bodies</w:t>
      </w:r>
    </w:p>
    <w:p w:rsidR="002C46AA" w:rsidRDefault="002C46AA" w:rsidP="002C46AA">
      <w:pPr>
        <w:shd w:val="clear" w:color="auto" w:fill="FFFFFF"/>
        <w:spacing w:after="0" w:line="312" w:lineRule="atLeast"/>
        <w:rPr>
          <w:rFonts w:ascii="Arial" w:hAnsi="Arial" w:cs="Arial"/>
          <w:sz w:val="18"/>
          <w:szCs w:val="18"/>
        </w:rPr>
      </w:pPr>
      <w:r>
        <w:rPr>
          <w:rFonts w:ascii="Arial" w:hAnsi="Arial" w:cs="Arial"/>
          <w:sz w:val="18"/>
          <w:szCs w:val="18"/>
        </w:rPr>
        <w:t>The Finnish Ministry of Education and Culture is preparing an evaluation plan for third-party evaluations and evaluations carried out to monitor learning outcomes.</w:t>
      </w:r>
    </w:p>
    <w:p w:rsidR="002C46AA" w:rsidRDefault="002C46AA" w:rsidP="002C46AA">
      <w:pPr>
        <w:shd w:val="clear" w:color="auto" w:fill="FFFFFF"/>
        <w:spacing w:line="312" w:lineRule="atLeast"/>
        <w:rPr>
          <w:rFonts w:ascii="Arial" w:hAnsi="Arial" w:cs="Arial"/>
          <w:sz w:val="18"/>
          <w:szCs w:val="18"/>
        </w:rPr>
      </w:pPr>
      <w:r>
        <w:rPr>
          <w:rFonts w:ascii="Arial" w:hAnsi="Arial" w:cs="Arial"/>
          <w:sz w:val="18"/>
          <w:szCs w:val="18"/>
        </w:rPr>
        <w:t xml:space="preserve">The plan is being drawn up in cooperation with the Finnish Education Evaluation Council, the Finnish Higher Education Evaluation Council and the National Board of Education or with the other evaluation </w:t>
      </w:r>
      <w:proofErr w:type="spellStart"/>
      <w:r>
        <w:rPr>
          <w:rFonts w:ascii="Arial" w:hAnsi="Arial" w:cs="Arial"/>
          <w:sz w:val="18"/>
          <w:szCs w:val="18"/>
        </w:rPr>
        <w:t>organisations</w:t>
      </w:r>
      <w:proofErr w:type="spellEnd"/>
      <w:r>
        <w:rPr>
          <w:rFonts w:ascii="Arial" w:hAnsi="Arial" w:cs="Arial"/>
          <w:sz w:val="18"/>
          <w:szCs w:val="18"/>
        </w:rPr>
        <w:t xml:space="preserve"> (</w:t>
      </w:r>
      <w:proofErr w:type="spellStart"/>
      <w:r>
        <w:rPr>
          <w:rFonts w:ascii="Arial" w:hAnsi="Arial" w:cs="Arial"/>
          <w:sz w:val="18"/>
          <w:szCs w:val="18"/>
        </w:rPr>
        <w:t>eg</w:t>
      </w:r>
      <w:proofErr w:type="spellEnd"/>
      <w:r>
        <w:rPr>
          <w:rFonts w:ascii="Arial" w:hAnsi="Arial" w:cs="Arial"/>
          <w:sz w:val="18"/>
          <w:szCs w:val="18"/>
        </w:rPr>
        <w:t xml:space="preserve">. around universities) that </w:t>
      </w:r>
      <w:r>
        <w:rPr>
          <w:rFonts w:ascii="Arial" w:hAnsi="Arial" w:cs="Arial"/>
          <w:sz w:val="18"/>
          <w:szCs w:val="18"/>
        </w:rPr>
        <w:br/>
        <w:t>are currently active in Finland.</w:t>
      </w:r>
    </w:p>
    <w:p w:rsidR="002C46AA" w:rsidRDefault="002C46AA" w:rsidP="002C46AA">
      <w:pPr>
        <w:shd w:val="clear" w:color="auto" w:fill="FFFFFF"/>
        <w:spacing w:line="312" w:lineRule="atLeast"/>
        <w:rPr>
          <w:rFonts w:ascii="Arial" w:hAnsi="Arial" w:cs="Arial"/>
          <w:sz w:val="18"/>
          <w:szCs w:val="18"/>
        </w:rPr>
      </w:pPr>
      <w:r>
        <w:rPr>
          <w:rFonts w:ascii="Arial" w:hAnsi="Arial" w:cs="Arial"/>
          <w:sz w:val="18"/>
          <w:szCs w:val="18"/>
        </w:rPr>
        <w:t>From 2014 evaluation activity concerning education will be concentrated into a single Education Evaluation Centre.</w:t>
      </w:r>
    </w:p>
    <w:p w:rsidR="002C46AA" w:rsidRDefault="007904D8" w:rsidP="002C46AA">
      <w:pPr>
        <w:shd w:val="clear" w:color="auto" w:fill="FFFFFF"/>
        <w:spacing w:line="312" w:lineRule="atLeast"/>
        <w:rPr>
          <w:rFonts w:ascii="Arial" w:hAnsi="Arial" w:cs="Arial"/>
          <w:color w:val="528B7B"/>
          <w:sz w:val="18"/>
          <w:szCs w:val="18"/>
        </w:rPr>
      </w:pPr>
      <w:hyperlink r:id="rId51" w:history="1">
        <w:proofErr w:type="spellStart"/>
        <w:r w:rsidR="002C46AA">
          <w:rPr>
            <w:rFonts w:ascii="Arial" w:hAnsi="Arial" w:cs="Arial"/>
            <w:color w:val="000000"/>
            <w:sz w:val="18"/>
            <w:szCs w:val="18"/>
          </w:rPr>
          <w:t>Mainpage</w:t>
        </w:r>
        <w:proofErr w:type="spellEnd"/>
      </w:hyperlink>
      <w:r w:rsidR="002C46AA">
        <w:rPr>
          <w:rFonts w:ascii="Arial" w:hAnsi="Arial" w:cs="Arial"/>
          <w:color w:val="528B7B"/>
          <w:sz w:val="18"/>
          <w:szCs w:val="18"/>
        </w:rPr>
        <w:t xml:space="preserve"> </w:t>
      </w:r>
      <w:hyperlink r:id="rId52" w:history="1">
        <w:r w:rsidR="002C46AA">
          <w:rPr>
            <w:rFonts w:ascii="Arial" w:hAnsi="Arial" w:cs="Arial"/>
            <w:color w:val="000000"/>
            <w:sz w:val="18"/>
            <w:szCs w:val="18"/>
          </w:rPr>
          <w:t>Education</w:t>
        </w:r>
      </w:hyperlink>
      <w:r w:rsidR="002C46AA">
        <w:rPr>
          <w:rFonts w:ascii="Arial" w:hAnsi="Arial" w:cs="Arial"/>
          <w:color w:val="528B7B"/>
          <w:sz w:val="18"/>
          <w:szCs w:val="18"/>
        </w:rPr>
        <w:t xml:space="preserve"> </w:t>
      </w:r>
      <w:hyperlink r:id="rId53" w:history="1">
        <w:proofErr w:type="spellStart"/>
        <w:r w:rsidR="002C46AA">
          <w:rPr>
            <w:rFonts w:ascii="Arial" w:hAnsi="Arial" w:cs="Arial"/>
            <w:color w:val="000000"/>
            <w:sz w:val="18"/>
            <w:szCs w:val="18"/>
          </w:rPr>
          <w:t>Education</w:t>
        </w:r>
        <w:proofErr w:type="spellEnd"/>
        <w:r w:rsidR="002C46AA">
          <w:rPr>
            <w:rFonts w:ascii="Arial" w:hAnsi="Arial" w:cs="Arial"/>
            <w:color w:val="000000"/>
            <w:sz w:val="18"/>
            <w:szCs w:val="18"/>
          </w:rPr>
          <w:t xml:space="preserve"> Policy</w:t>
        </w:r>
      </w:hyperlink>
      <w:r w:rsidR="002C46AA">
        <w:rPr>
          <w:rFonts w:ascii="Arial" w:hAnsi="Arial" w:cs="Arial"/>
          <w:color w:val="528B7B"/>
          <w:sz w:val="18"/>
          <w:szCs w:val="18"/>
        </w:rPr>
        <w:t xml:space="preserve"> Evaluation </w:t>
      </w:r>
    </w:p>
    <w:p w:rsidR="002C46AA" w:rsidRDefault="002C46AA" w:rsidP="002C46AA">
      <w:pPr>
        <w:shd w:val="clear" w:color="auto" w:fill="FFFFFF"/>
        <w:spacing w:line="312" w:lineRule="atLeast"/>
        <w:rPr>
          <w:rFonts w:ascii="Arial" w:hAnsi="Arial" w:cs="Arial"/>
          <w:sz w:val="18"/>
          <w:szCs w:val="18"/>
        </w:rPr>
      </w:pPr>
      <w:bookmarkStart w:id="3" w:name="sisaltoon"/>
      <w:bookmarkEnd w:id="3"/>
      <w:r>
        <w:rPr>
          <w:rFonts w:ascii="Arial" w:hAnsi="Arial" w:cs="Arial"/>
          <w:sz w:val="18"/>
          <w:szCs w:val="18"/>
        </w:rPr>
        <w:t xml:space="preserve">﻿ </w:t>
      </w:r>
    </w:p>
    <w:p w:rsidR="002C46AA" w:rsidRPr="002C46AA" w:rsidRDefault="002C46AA" w:rsidP="002C46AA">
      <w:pPr>
        <w:shd w:val="clear" w:color="auto" w:fill="FFFFFF"/>
        <w:spacing w:before="100" w:beforeAutospacing="1" w:after="100" w:afterAutospacing="1" w:line="312" w:lineRule="atLeast"/>
        <w:rPr>
          <w:rFonts w:ascii="Arial" w:eastAsia="Times New Roman" w:hAnsi="Arial" w:cs="Arial"/>
          <w:sz w:val="18"/>
          <w:szCs w:val="18"/>
          <w:lang w:val="en-GB"/>
        </w:rPr>
      </w:pPr>
    </w:p>
    <w:p w:rsidR="002C46AA" w:rsidRDefault="002C46AA">
      <w:pPr>
        <w:rPr>
          <w:sz w:val="24"/>
          <w:szCs w:val="24"/>
          <w:lang w:val="cs-CZ"/>
        </w:rPr>
      </w:pPr>
    </w:p>
    <w:p w:rsidR="00C43A0C" w:rsidRDefault="00C43A0C" w:rsidP="002C46AA">
      <w:pPr>
        <w:rPr>
          <w:b/>
          <w:sz w:val="32"/>
          <w:szCs w:val="32"/>
          <w:lang w:val="cs-CZ"/>
        </w:rPr>
      </w:pPr>
    </w:p>
    <w:p w:rsidR="00C43A0C" w:rsidRDefault="00C43A0C" w:rsidP="00B37002">
      <w:pPr>
        <w:ind w:right="-897"/>
        <w:rPr>
          <w:sz w:val="24"/>
          <w:szCs w:val="24"/>
          <w:lang w:val="cs-CZ"/>
        </w:rPr>
      </w:pPr>
      <w:r>
        <w:rPr>
          <w:noProof/>
          <w:sz w:val="24"/>
          <w:szCs w:val="24"/>
          <w:lang w:val="cs-CZ" w:eastAsia="cs-CZ"/>
        </w:rPr>
        <w:drawing>
          <wp:inline distT="0" distB="0" distL="0" distR="0">
            <wp:extent cx="6467475" cy="78676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E4F7.tmp"/>
                    <pic:cNvPicPr/>
                  </pic:nvPicPr>
                  <pic:blipFill>
                    <a:blip r:embed="rId54">
                      <a:extLst>
                        <a:ext uri="{28A0092B-C50C-407E-A947-70E740481C1C}">
                          <a14:useLocalDpi xmlns:a14="http://schemas.microsoft.com/office/drawing/2010/main" val="0"/>
                        </a:ext>
                      </a:extLst>
                    </a:blip>
                    <a:stretch>
                      <a:fillRect/>
                    </a:stretch>
                  </pic:blipFill>
                  <pic:spPr>
                    <a:xfrm>
                      <a:off x="0" y="0"/>
                      <a:ext cx="6473037" cy="7874416"/>
                    </a:xfrm>
                    <a:prstGeom prst="rect">
                      <a:avLst/>
                    </a:prstGeom>
                  </pic:spPr>
                </pic:pic>
              </a:graphicData>
            </a:graphic>
          </wp:inline>
        </w:drawing>
      </w:r>
    </w:p>
    <w:p w:rsidR="00C43A0C" w:rsidRDefault="00C43A0C" w:rsidP="00B37002">
      <w:pPr>
        <w:ind w:right="-897"/>
        <w:rPr>
          <w:sz w:val="24"/>
          <w:szCs w:val="24"/>
          <w:lang w:val="cs-CZ"/>
        </w:rPr>
      </w:pPr>
    </w:p>
    <w:p w:rsidR="00B37002" w:rsidRDefault="00C43A0C" w:rsidP="00B37002">
      <w:pPr>
        <w:ind w:right="-897"/>
        <w:rPr>
          <w:sz w:val="24"/>
          <w:szCs w:val="24"/>
          <w:lang w:val="cs-CZ"/>
        </w:rPr>
      </w:pPr>
      <w:r>
        <w:rPr>
          <w:noProof/>
          <w:sz w:val="24"/>
          <w:szCs w:val="24"/>
          <w:lang w:val="cs-CZ" w:eastAsia="cs-CZ"/>
        </w:rPr>
        <w:lastRenderedPageBreak/>
        <w:drawing>
          <wp:inline distT="0" distB="0" distL="0" distR="0">
            <wp:extent cx="6438900" cy="61150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E451A7.tmp"/>
                    <pic:cNvPicPr/>
                  </pic:nvPicPr>
                  <pic:blipFill>
                    <a:blip r:embed="rId55">
                      <a:extLst>
                        <a:ext uri="{28A0092B-C50C-407E-A947-70E740481C1C}">
                          <a14:useLocalDpi xmlns:a14="http://schemas.microsoft.com/office/drawing/2010/main" val="0"/>
                        </a:ext>
                      </a:extLst>
                    </a:blip>
                    <a:stretch>
                      <a:fillRect/>
                    </a:stretch>
                  </pic:blipFill>
                  <pic:spPr>
                    <a:xfrm>
                      <a:off x="0" y="0"/>
                      <a:ext cx="6441752" cy="6117759"/>
                    </a:xfrm>
                    <a:prstGeom prst="rect">
                      <a:avLst/>
                    </a:prstGeom>
                  </pic:spPr>
                </pic:pic>
              </a:graphicData>
            </a:graphic>
          </wp:inline>
        </w:drawing>
      </w:r>
    </w:p>
    <w:p w:rsidR="00B37002" w:rsidRDefault="00B37002" w:rsidP="00B37002">
      <w:pPr>
        <w:ind w:right="-897"/>
        <w:rPr>
          <w:sz w:val="24"/>
          <w:szCs w:val="24"/>
          <w:lang w:val="cs-CZ"/>
        </w:rPr>
      </w:pPr>
    </w:p>
    <w:p w:rsidR="00C43A0C" w:rsidRDefault="00C43A0C" w:rsidP="00B37002">
      <w:pPr>
        <w:ind w:right="-897"/>
        <w:rPr>
          <w:sz w:val="24"/>
          <w:szCs w:val="24"/>
          <w:lang w:val="cs-CZ"/>
        </w:rPr>
      </w:pPr>
    </w:p>
    <w:p w:rsidR="00C43A0C" w:rsidRDefault="00C43A0C" w:rsidP="00B37002">
      <w:pPr>
        <w:ind w:right="-897"/>
        <w:rPr>
          <w:sz w:val="24"/>
          <w:szCs w:val="24"/>
          <w:lang w:val="cs-CZ"/>
        </w:rPr>
      </w:pPr>
    </w:p>
    <w:p w:rsidR="00C43A0C" w:rsidRDefault="00C43A0C">
      <w:pPr>
        <w:rPr>
          <w:sz w:val="24"/>
          <w:szCs w:val="24"/>
          <w:lang w:val="cs-CZ"/>
        </w:rPr>
      </w:pPr>
      <w:r>
        <w:rPr>
          <w:sz w:val="24"/>
          <w:szCs w:val="24"/>
          <w:lang w:val="cs-CZ"/>
        </w:rPr>
        <w:br w:type="page"/>
      </w:r>
    </w:p>
    <w:p w:rsidR="00CF7719" w:rsidRDefault="00CF7719" w:rsidP="00CF7719">
      <w:pPr>
        <w:jc w:val="center"/>
        <w:rPr>
          <w:b/>
          <w:sz w:val="32"/>
          <w:szCs w:val="32"/>
          <w:lang w:val="cs-CZ"/>
        </w:rPr>
      </w:pPr>
      <w:r>
        <w:rPr>
          <w:b/>
          <w:sz w:val="32"/>
          <w:szCs w:val="32"/>
          <w:lang w:val="cs-CZ"/>
        </w:rPr>
        <w:lastRenderedPageBreak/>
        <w:t xml:space="preserve">Klíčové indikátory </w:t>
      </w:r>
      <w:r w:rsidRPr="00B37002">
        <w:rPr>
          <w:b/>
          <w:sz w:val="32"/>
          <w:szCs w:val="32"/>
          <w:lang w:val="cs-CZ"/>
        </w:rPr>
        <w:t>VŠ ve Finsku</w:t>
      </w:r>
    </w:p>
    <w:p w:rsidR="00CF7719" w:rsidRPr="00CF7719" w:rsidRDefault="00CF7719" w:rsidP="00CF7719">
      <w:pPr>
        <w:shd w:val="clear" w:color="auto" w:fill="FFFFFF"/>
        <w:spacing w:after="150" w:line="288" w:lineRule="atLeast"/>
        <w:outlineLvl w:val="1"/>
        <w:rPr>
          <w:rFonts w:ascii="Verdana" w:eastAsia="Times New Roman" w:hAnsi="Verdana" w:cs="Arial"/>
          <w:b/>
          <w:bCs/>
          <w:color w:val="65461B"/>
          <w:kern w:val="36"/>
          <w:lang w:val="en-GB"/>
        </w:rPr>
      </w:pPr>
      <w:r w:rsidRPr="00CF7719">
        <w:rPr>
          <w:rFonts w:ascii="Verdana" w:eastAsia="Times New Roman" w:hAnsi="Verdana" w:cs="Arial"/>
          <w:b/>
          <w:bCs/>
          <w:color w:val="65461B"/>
          <w:kern w:val="36"/>
          <w:lang w:val="en-GB"/>
        </w:rPr>
        <w:t>Education and Training Monitor: Key indicators and benchmarks</w:t>
      </w:r>
    </w:p>
    <w:p w:rsidR="00CF7719" w:rsidRPr="00CF7719" w:rsidRDefault="007904D8" w:rsidP="00CF7719">
      <w:pPr>
        <w:shd w:val="clear" w:color="auto" w:fill="FFFFFF"/>
        <w:spacing w:after="150" w:line="312" w:lineRule="atLeast"/>
        <w:rPr>
          <w:rFonts w:ascii="Arial" w:eastAsia="Times New Roman" w:hAnsi="Arial" w:cs="Arial"/>
          <w:sz w:val="18"/>
          <w:szCs w:val="18"/>
          <w:lang w:val="en-GB"/>
        </w:rPr>
      </w:pPr>
      <w:hyperlink r:id="rId56" w:history="1">
        <w:r w:rsidR="00CF7719" w:rsidRPr="00CF7719">
          <w:rPr>
            <w:rFonts w:ascii="Arial" w:eastAsia="Times New Roman" w:hAnsi="Arial" w:cs="Arial"/>
            <w:color w:val="8E6E43"/>
            <w:sz w:val="18"/>
            <w:szCs w:val="18"/>
            <w:u w:val="single"/>
            <w:lang w:val="en-GB"/>
          </w:rPr>
          <w:t>Back</w:t>
        </w:r>
      </w:hyperlink>
      <w:r w:rsidR="00CF7719" w:rsidRPr="00CF7719">
        <w:rPr>
          <w:rFonts w:ascii="Arial" w:eastAsia="Times New Roman" w:hAnsi="Arial" w:cs="Arial"/>
          <w:sz w:val="18"/>
          <w:szCs w:val="18"/>
          <w:lang w:val="en-GB"/>
        </w:rPr>
        <w:t xml:space="preserve"> </w:t>
      </w:r>
    </w:p>
    <w:p w:rsidR="00CF7719" w:rsidRPr="00CF7719" w:rsidRDefault="00CF7719" w:rsidP="00CF7719">
      <w:pPr>
        <w:shd w:val="clear" w:color="auto" w:fill="FFFFFF"/>
        <w:spacing w:after="150" w:line="312" w:lineRule="atLeast"/>
        <w:rPr>
          <w:rFonts w:ascii="Arial" w:eastAsia="Times New Roman" w:hAnsi="Arial" w:cs="Arial"/>
          <w:sz w:val="18"/>
          <w:szCs w:val="18"/>
          <w:lang w:val="en-GB"/>
        </w:rPr>
      </w:pPr>
      <w:proofErr w:type="spellStart"/>
      <w:proofErr w:type="gramStart"/>
      <w:r w:rsidRPr="00CF7719">
        <w:rPr>
          <w:rFonts w:ascii="Arial" w:eastAsia="Times New Roman" w:hAnsi="Arial" w:cs="Arial"/>
          <w:sz w:val="18"/>
          <w:szCs w:val="18"/>
          <w:lang w:val="en-GB"/>
        </w:rPr>
        <w:t>webnews</w:t>
      </w:r>
      <w:proofErr w:type="spellEnd"/>
      <w:proofErr w:type="gramEnd"/>
      <w:r w:rsidRPr="00CF7719">
        <w:rPr>
          <w:rFonts w:ascii="Arial" w:eastAsia="Times New Roman" w:hAnsi="Arial" w:cs="Arial"/>
          <w:sz w:val="18"/>
          <w:szCs w:val="18"/>
          <w:lang w:val="en-GB"/>
        </w:rPr>
        <w:t xml:space="preserve"> </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05-11-2013</w:t>
      </w:r>
    </w:p>
    <w:p w:rsidR="00CF7719" w:rsidRPr="00CF7719" w:rsidRDefault="00CF7719" w:rsidP="00CF7719">
      <w:pPr>
        <w:shd w:val="clear" w:color="auto" w:fill="FFFFFF"/>
        <w:spacing w:line="312" w:lineRule="atLeast"/>
        <w:rPr>
          <w:rFonts w:ascii="Arial" w:eastAsia="Times New Roman" w:hAnsi="Arial" w:cs="Arial"/>
          <w:b/>
          <w:bCs/>
          <w:sz w:val="18"/>
          <w:szCs w:val="18"/>
          <w:lang w:val="en-GB"/>
        </w:rPr>
      </w:pPr>
      <w:r w:rsidRPr="00CF7719">
        <w:rPr>
          <w:rFonts w:ascii="Arial" w:eastAsia="Times New Roman" w:hAnsi="Arial" w:cs="Arial"/>
          <w:b/>
          <w:bCs/>
          <w:sz w:val="18"/>
          <w:szCs w:val="18"/>
          <w:lang w:val="en-GB"/>
        </w:rPr>
        <w:t xml:space="preserve">The annual Education and Training Monitor examines the evolution of Europe’s education and training systems. It illustrates the evolution of education and training systems across Europe, with a particular focus on the country-specific recommendations adopted in the field of education and training. </w:t>
      </w:r>
    </w:p>
    <w:tbl>
      <w:tblPr>
        <w:tblpPr w:leftFromText="45" w:rightFromText="45" w:vertAnchor="text"/>
        <w:tblW w:w="150" w:type="dxa"/>
        <w:tblCellSpacing w:w="15" w:type="dxa"/>
        <w:tblCellMar>
          <w:top w:w="15" w:type="dxa"/>
          <w:left w:w="15" w:type="dxa"/>
          <w:bottom w:w="15" w:type="dxa"/>
          <w:right w:w="15" w:type="dxa"/>
        </w:tblCellMar>
        <w:tblLook w:val="04A0" w:firstRow="1" w:lastRow="0" w:firstColumn="1" w:lastColumn="0" w:noHBand="0" w:noVBand="1"/>
      </w:tblPr>
      <w:tblGrid>
        <w:gridCol w:w="3390"/>
      </w:tblGrid>
      <w:tr w:rsidR="00CF7719" w:rsidRPr="00CF7719" w:rsidTr="00CF7719">
        <w:trPr>
          <w:tblCellSpacing w:w="15" w:type="dxa"/>
        </w:trPr>
        <w:tc>
          <w:tcPr>
            <w:tcW w:w="150" w:type="dxa"/>
            <w:vAlign w:val="center"/>
            <w:hideMark/>
          </w:tcPr>
          <w:p w:rsidR="00CF7719" w:rsidRPr="00CF7719" w:rsidRDefault="00CF7719" w:rsidP="00CF7719">
            <w:pPr>
              <w:spacing w:after="0" w:line="312" w:lineRule="atLeast"/>
              <w:rPr>
                <w:rFonts w:ascii="Arial" w:eastAsia="Times New Roman" w:hAnsi="Arial" w:cs="Arial"/>
                <w:sz w:val="18"/>
                <w:szCs w:val="18"/>
                <w:lang w:val="en-GB"/>
              </w:rPr>
            </w:pPr>
            <w:r>
              <w:rPr>
                <w:rFonts w:ascii="Arial" w:eastAsia="Times New Roman" w:hAnsi="Arial" w:cs="Arial"/>
                <w:noProof/>
                <w:sz w:val="18"/>
                <w:szCs w:val="18"/>
                <w:lang w:val="cs-CZ" w:eastAsia="cs-CZ"/>
              </w:rPr>
              <w:drawing>
                <wp:inline distT="0" distB="0" distL="0" distR="0">
                  <wp:extent cx="2095500" cy="1524000"/>
                  <wp:effectExtent l="0" t="0" r="0" b="0"/>
                  <wp:docPr id="4" name="Picture 4" descr="The Education and Training Monitor 2013  visual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he Education and Training Monitor 2013  visual tool"/>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95500" cy="1524000"/>
                          </a:xfrm>
                          <a:prstGeom prst="rect">
                            <a:avLst/>
                          </a:prstGeom>
                          <a:noFill/>
                          <a:ln>
                            <a:noFill/>
                          </a:ln>
                        </pic:spPr>
                      </pic:pic>
                    </a:graphicData>
                  </a:graphic>
                </wp:inline>
              </w:drawing>
            </w:r>
          </w:p>
        </w:tc>
      </w:tr>
      <w:tr w:rsidR="00CF7719" w:rsidRPr="00CF7719" w:rsidTr="00CF7719">
        <w:trPr>
          <w:tblCellSpacing w:w="15" w:type="dxa"/>
        </w:trPr>
        <w:tc>
          <w:tcPr>
            <w:tcW w:w="0" w:type="auto"/>
            <w:tcMar>
              <w:top w:w="15" w:type="dxa"/>
              <w:left w:w="15" w:type="dxa"/>
              <w:bottom w:w="15" w:type="dxa"/>
              <w:right w:w="150" w:type="dxa"/>
            </w:tcMar>
            <w:vAlign w:val="center"/>
            <w:hideMark/>
          </w:tcPr>
          <w:p w:rsidR="00CF7719" w:rsidRPr="00CF7719" w:rsidRDefault="00CF7719" w:rsidP="00CF7719">
            <w:pPr>
              <w:spacing w:after="240" w:line="312" w:lineRule="atLeast"/>
              <w:ind w:right="180"/>
              <w:jc w:val="center"/>
              <w:rPr>
                <w:rFonts w:ascii="Arial" w:eastAsia="Times New Roman" w:hAnsi="Arial" w:cs="Arial"/>
                <w:color w:val="777777"/>
                <w:sz w:val="16"/>
                <w:szCs w:val="16"/>
                <w:lang w:val="en-GB"/>
              </w:rPr>
            </w:pPr>
            <w:r w:rsidRPr="00CF7719">
              <w:rPr>
                <w:rFonts w:ascii="Arial" w:eastAsia="Times New Roman" w:hAnsi="Arial" w:cs="Arial"/>
                <w:color w:val="777777"/>
                <w:sz w:val="16"/>
                <w:szCs w:val="16"/>
                <w:lang w:val="en-GB"/>
              </w:rPr>
              <w:t xml:space="preserve">Accompanied by 28 individual country reports and an online visualisation tool, </w:t>
            </w:r>
            <w:hyperlink r:id="rId58" w:tgtFrame="_blank" w:history="1">
              <w:r w:rsidRPr="00CF7719">
                <w:rPr>
                  <w:rFonts w:ascii="Arial" w:eastAsia="Times New Roman" w:hAnsi="Arial" w:cs="Arial"/>
                  <w:color w:val="8E6E43"/>
                  <w:sz w:val="16"/>
                  <w:szCs w:val="16"/>
                  <w:u w:val="single"/>
                  <w:lang w:val="en-GB"/>
                </w:rPr>
                <w:t>The Education and Training Monitor 2013</w:t>
              </w:r>
            </w:hyperlink>
            <w:r w:rsidRPr="00CF7719">
              <w:rPr>
                <w:rFonts w:ascii="Arial" w:eastAsia="Times New Roman" w:hAnsi="Arial" w:cs="Arial"/>
                <w:color w:val="777777"/>
                <w:sz w:val="16"/>
                <w:szCs w:val="16"/>
                <w:lang w:val="en-GB"/>
              </w:rPr>
              <w:t xml:space="preserve"> provides a wealth of data to facilitate evidence-based policy making across Europe. </w:t>
            </w:r>
          </w:p>
        </w:tc>
      </w:tr>
    </w:tbl>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These country-specific recommendations, proposed by the Commission and adopted by the Council, are based on an assessment of each Member State's key challenges and aim at offering tailor-made guidance. Many of these recommendations call on to combat early school leaving, increase tertiary attainment, improve school or vocational education and training system by making their outcomes more relevant for the labour market, and secure the necessary funding for investments in education.</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 xml:space="preserve">According to the </w:t>
      </w:r>
      <w:r w:rsidRPr="00CF7719">
        <w:rPr>
          <w:rFonts w:ascii="Arial" w:eastAsia="Times New Roman" w:hAnsi="Arial" w:cs="Arial"/>
          <w:i/>
          <w:iCs/>
          <w:sz w:val="18"/>
          <w:szCs w:val="18"/>
          <w:lang w:val="en-GB"/>
        </w:rPr>
        <w:t>Education and Training Monitor</w:t>
      </w:r>
      <w:r w:rsidRPr="00CF7719">
        <w:rPr>
          <w:rFonts w:ascii="Arial" w:eastAsia="Times New Roman" w:hAnsi="Arial" w:cs="Arial"/>
          <w:sz w:val="18"/>
          <w:szCs w:val="18"/>
          <w:lang w:val="en-GB"/>
        </w:rPr>
        <w:t xml:space="preserve"> Finland has been hence able to maintain its education budget throughout the financial crisis, and its public expenditure on education has remained above the EU average, despite a generally difficult economic context.</w:t>
      </w:r>
    </w:p>
    <w:p w:rsidR="00CF7719" w:rsidRPr="00CF7719" w:rsidRDefault="00CF7719" w:rsidP="00CF7719">
      <w:pPr>
        <w:shd w:val="clear" w:color="auto" w:fill="FFFFFF"/>
        <w:spacing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The public expenditure on education remained stable in Finland during the period 2008-2011, from 5.9% of GDP in 2008 to 6.4 % of GDP in 2011, and remains significantly higher than the EU general average of 5.3% in 2011.</w:t>
      </w:r>
    </w:p>
    <w:p w:rsidR="00CF7719" w:rsidRPr="00CF7719" w:rsidRDefault="00CF7719" w:rsidP="00CF7719">
      <w:pPr>
        <w:shd w:val="clear" w:color="auto" w:fill="FFFFFF"/>
        <w:spacing w:after="150" w:line="288" w:lineRule="atLeast"/>
        <w:outlineLvl w:val="4"/>
        <w:rPr>
          <w:rFonts w:ascii="Verdana" w:eastAsia="Times New Roman" w:hAnsi="Verdana" w:cs="Arial"/>
          <w:b/>
          <w:bCs/>
          <w:color w:val="65461B"/>
          <w:lang w:val="en-GB"/>
        </w:rPr>
      </w:pPr>
      <w:r w:rsidRPr="00CF7719">
        <w:rPr>
          <w:rFonts w:ascii="Verdana" w:eastAsia="Times New Roman" w:hAnsi="Verdana" w:cs="Arial"/>
          <w:b/>
          <w:bCs/>
          <w:color w:val="65461B"/>
          <w:lang w:val="en-GB"/>
        </w:rPr>
        <w:t>Main challenges and recommendations</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In general Finland has been able to maintain its high international position, particularly on basic skills.</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In the context of an ageing population, the employability of older workers and the need to delay their exit from the labour market on the one hand, and the level of youth unemployment and a lack of relevant skills among young job seekers on the other, are growing sources of concern for Finland, particularly young people not in employment, education and /or training (NEETs, ca. 40.000 persons). A major initiative in this area is the “Social Guarantee for Young People: education, work and tailored services”.</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Finally, Finland will have to face in the future the issue of increasing the efficiency of its public spending on education, in particular in the tertiary sector.</w:t>
      </w:r>
    </w:p>
    <w:p w:rsidR="00CF7719" w:rsidRPr="00CF7719" w:rsidRDefault="00CF7719" w:rsidP="00CF7719">
      <w:pPr>
        <w:shd w:val="clear" w:color="auto" w:fill="FFFFFF"/>
        <w:spacing w:after="150" w:line="288" w:lineRule="atLeast"/>
        <w:outlineLvl w:val="4"/>
        <w:rPr>
          <w:rFonts w:ascii="Verdana" w:eastAsia="Times New Roman" w:hAnsi="Verdana" w:cs="Arial"/>
          <w:b/>
          <w:bCs/>
          <w:color w:val="65461B"/>
          <w:lang w:val="en-GB"/>
        </w:rPr>
      </w:pPr>
      <w:r w:rsidRPr="00CF7719">
        <w:rPr>
          <w:rFonts w:ascii="Verdana" w:eastAsia="Times New Roman" w:hAnsi="Verdana" w:cs="Arial"/>
          <w:b/>
          <w:bCs/>
          <w:color w:val="65461B"/>
          <w:lang w:val="en-GB"/>
        </w:rPr>
        <w:t>Tackling early school leaving and drop-out</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Finland performs better than the EU average for the early school-leaving rate. In Finland it was 8.9 % vs. an EU average of 12.8% in 2012. However, it tends to be significantly higher among migrants, with an estimate of 14.9% in 2012. The overall rate of ESL has remained fairly stable for the last decade. For the period 2011-12 the early school-leaving rate has decreased by 0.9 pp.</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lastRenderedPageBreak/>
        <w:t>Compared with the nation as a whole, migrant youths in Finland are more exposed to early school leaving. The situation is especially challenging for those young people who have arrived in Finland in the final stages of the Finnish programme of compulsory education. Thus language training for immigrants is to be increased at secondary and upper-secondary level as well as adult education centres, allowing for the improvement of their study prospects and their language skills.</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As part of the enhanced Youth Guarantee, Finland has increased the number of available study places in VET by 1.700. These study places were created particularly in geographical areas where there previously was relatively few study places available compared with the relevant age group. The Youth Guarantee package consists of various elements: a guarantee of employment, education or training, as well as a young adults’ skills programme, a youth ‘workshop’, and outreach youth work.</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The Government budget proposal includes 60 million EUR destined for local authorities for the employment, education and training guarantee in 2013. The young adults' skills programme will be implemented in 2013-2016, with a budget of 27 million EUR in 2013 and 52 million EUR in the years 2014-2016. In this context opportunities to achieve a vocational qualification or a part of it will be provided for those 20-29 year olds who only have achieved the comprehensive school leaving certificate. As regards the youth workshop and outreach youth work the funding for the period 2013-2015 is set to be of 19.5 million EUR, and 11.5 million EUR in 2016.</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Finland also decided to improve student guidance during and after the end of compulsory education. The aim is give local authorities the legal responsibility to provide young people, who have ended compulsory education without a qualification, with professional career counselling and guidance.</w:t>
      </w:r>
    </w:p>
    <w:p w:rsidR="00CF7719" w:rsidRPr="00CF7719" w:rsidRDefault="00CF7719" w:rsidP="00CF7719">
      <w:pPr>
        <w:shd w:val="clear" w:color="auto" w:fill="FFFFFF"/>
        <w:spacing w:after="150" w:line="288" w:lineRule="atLeast"/>
        <w:outlineLvl w:val="4"/>
        <w:rPr>
          <w:rFonts w:ascii="Verdana" w:eastAsia="Times New Roman" w:hAnsi="Verdana" w:cs="Arial"/>
          <w:b/>
          <w:bCs/>
          <w:color w:val="65461B"/>
          <w:lang w:val="en-GB"/>
        </w:rPr>
      </w:pPr>
      <w:r w:rsidRPr="00CF7719">
        <w:rPr>
          <w:rFonts w:ascii="Verdana" w:eastAsia="Times New Roman" w:hAnsi="Verdana" w:cs="Arial"/>
          <w:b/>
          <w:bCs/>
          <w:color w:val="65461B"/>
          <w:lang w:val="en-GB"/>
        </w:rPr>
        <w:t>The challenge of doing more with less</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According to the report in the future Finland will have to address the issue of the efficiency of public spending in higher education, given one of the longest times to degree in all of the OECD countries, as well as the relative importance of expenditure in the tertiary sector.</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 xml:space="preserve">Finland is performing quite well as regards the tertiary attainment rate, with 45.8% (EU wide definition) as against an EU average of 35.7% in 2012. The rate for foreign born persons remains lower than for natives, with 33% vs. 47% in 2012. </w:t>
      </w:r>
      <w:r w:rsidRPr="00CF7719">
        <w:rPr>
          <w:rFonts w:ascii="Arial" w:eastAsia="Times New Roman" w:hAnsi="Arial" w:cs="Arial"/>
          <w:sz w:val="18"/>
          <w:szCs w:val="18"/>
          <w:lang w:val="en-GB"/>
        </w:rPr>
        <w:br/>
      </w:r>
      <w:r w:rsidRPr="00CF7719">
        <w:rPr>
          <w:rFonts w:ascii="Arial" w:eastAsia="Times New Roman" w:hAnsi="Arial" w:cs="Arial"/>
          <w:sz w:val="18"/>
          <w:szCs w:val="18"/>
          <w:lang w:val="en-GB"/>
        </w:rPr>
        <w:br/>
        <w:t xml:space="preserve">The supply of upper secondary education is strong and due to high completion rates, tertiary attainment is high as well. Moreover, investment is very high and still increasing. Employment advantage is, interestingly, not so strong. So it’s not per se a direct labour market incentive that makes people continue into higher education. </w:t>
      </w:r>
      <w:r w:rsidRPr="00CF7719">
        <w:rPr>
          <w:rFonts w:ascii="Arial" w:eastAsia="Times New Roman" w:hAnsi="Arial" w:cs="Arial"/>
          <w:sz w:val="18"/>
          <w:szCs w:val="18"/>
          <w:lang w:val="en-GB"/>
        </w:rPr>
        <w:br/>
      </w:r>
      <w:r w:rsidRPr="00CF7719">
        <w:rPr>
          <w:rFonts w:ascii="Arial" w:eastAsia="Times New Roman" w:hAnsi="Arial" w:cs="Arial"/>
          <w:sz w:val="18"/>
          <w:szCs w:val="18"/>
          <w:lang w:val="en-GB"/>
        </w:rPr>
        <w:br/>
        <w:t>The internationalisation and attractiveness for overseas students of the Finnish tertiary sector remain a challenge and will have to be further developed in the future.</w:t>
      </w:r>
    </w:p>
    <w:p w:rsidR="00CF7719" w:rsidRPr="00CF7719" w:rsidRDefault="00CF7719" w:rsidP="00CF7719">
      <w:pPr>
        <w:shd w:val="clear" w:color="auto" w:fill="FFFFFF"/>
        <w:spacing w:after="150" w:line="288" w:lineRule="atLeast"/>
        <w:outlineLvl w:val="4"/>
        <w:rPr>
          <w:rFonts w:ascii="Verdana" w:eastAsia="Times New Roman" w:hAnsi="Verdana" w:cs="Arial"/>
          <w:b/>
          <w:bCs/>
          <w:color w:val="65461B"/>
          <w:lang w:val="en-GB"/>
        </w:rPr>
      </w:pPr>
      <w:r w:rsidRPr="00CF7719">
        <w:rPr>
          <w:rFonts w:ascii="Verdana" w:eastAsia="Times New Roman" w:hAnsi="Verdana" w:cs="Arial"/>
          <w:b/>
          <w:bCs/>
          <w:color w:val="65461B"/>
          <w:lang w:val="en-GB"/>
        </w:rPr>
        <w:t>Investing in skills and qualifications</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Public expenditure on education (COFOG data) remained stable in Finland during the period 2008-2011, from 5.9% of GDP in 2008 to 6.4 % of GDP in 2011, and remains significantly higher than the EU general average of 5.3% in 2011.</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Finland has been hence able to maintain its education budget throughout the financial crisis, and its public expenditure on education has remained above the EU average, despite a generally difficult economic context.</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sz w:val="18"/>
          <w:szCs w:val="18"/>
          <w:lang w:val="en-GB"/>
        </w:rPr>
        <w:t> </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b/>
          <w:bCs/>
          <w:sz w:val="18"/>
          <w:szCs w:val="18"/>
          <w:lang w:val="en-GB"/>
        </w:rPr>
        <w:t>Finland´s position in relation to highest and lowest performers:</w:t>
      </w:r>
      <w:r w:rsidRPr="00CF7719">
        <w:rPr>
          <w:rFonts w:ascii="Arial" w:eastAsia="Times New Roman" w:hAnsi="Arial" w:cs="Arial"/>
          <w:sz w:val="18"/>
          <w:szCs w:val="18"/>
          <w:lang w:val="en-GB"/>
        </w:rPr>
        <w:t xml:space="preserve"> </w:t>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Pr>
          <w:rFonts w:ascii="Arial" w:eastAsia="Times New Roman" w:hAnsi="Arial" w:cs="Arial"/>
          <w:noProof/>
          <w:sz w:val="18"/>
          <w:szCs w:val="18"/>
          <w:lang w:val="cs-CZ" w:eastAsia="cs-CZ"/>
        </w:rPr>
        <w:lastRenderedPageBreak/>
        <w:drawing>
          <wp:inline distT="0" distB="0" distL="0" distR="0">
            <wp:extent cx="4000500" cy="2743200"/>
            <wp:effectExtent l="0" t="0" r="0" b="0"/>
            <wp:docPr id="3" name="Picture 3" descr="etmf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mfi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00500" cy="2743200"/>
                    </a:xfrm>
                    <a:prstGeom prst="rect">
                      <a:avLst/>
                    </a:prstGeom>
                    <a:noFill/>
                    <a:ln>
                      <a:noFill/>
                    </a:ln>
                  </pic:spPr>
                </pic:pic>
              </a:graphicData>
            </a:graphic>
          </wp:inline>
        </w:drawing>
      </w:r>
    </w:p>
    <w:p w:rsidR="00CF7719" w:rsidRPr="00CF7719" w:rsidRDefault="00CF7719" w:rsidP="00CF7719">
      <w:pPr>
        <w:shd w:val="clear" w:color="auto" w:fill="FFFFFF"/>
        <w:spacing w:after="0" w:line="312" w:lineRule="atLeast"/>
        <w:rPr>
          <w:rFonts w:ascii="Arial" w:eastAsia="Times New Roman" w:hAnsi="Arial" w:cs="Arial"/>
          <w:sz w:val="18"/>
          <w:szCs w:val="18"/>
          <w:lang w:val="en-GB"/>
        </w:rPr>
      </w:pPr>
      <w:r w:rsidRPr="00CF7719">
        <w:rPr>
          <w:rFonts w:ascii="Arial" w:eastAsia="Times New Roman" w:hAnsi="Arial" w:cs="Arial"/>
          <w:i/>
          <w:iCs/>
          <w:sz w:val="18"/>
          <w:szCs w:val="18"/>
          <w:lang w:val="en-GB"/>
        </w:rPr>
        <w:t>Source: The Education and Training Monitor 2013</w:t>
      </w:r>
      <w:r w:rsidRPr="00CF7719">
        <w:rPr>
          <w:rFonts w:ascii="Arial" w:eastAsia="Times New Roman" w:hAnsi="Arial" w:cs="Arial"/>
          <w:sz w:val="18"/>
          <w:szCs w:val="18"/>
          <w:lang w:val="en-GB"/>
        </w:rPr>
        <w:t xml:space="preserve"> </w:t>
      </w:r>
    </w:p>
    <w:p w:rsidR="00C43A0C" w:rsidRDefault="00C43A0C" w:rsidP="00B37002">
      <w:pPr>
        <w:ind w:right="-897"/>
        <w:rPr>
          <w:sz w:val="24"/>
          <w:szCs w:val="24"/>
          <w:lang w:val="en-GB"/>
        </w:rPr>
      </w:pPr>
    </w:p>
    <w:p w:rsidR="00CF7719" w:rsidRDefault="00CF7719">
      <w:pPr>
        <w:rPr>
          <w:sz w:val="24"/>
          <w:szCs w:val="24"/>
          <w:lang w:val="en-GB"/>
        </w:rPr>
      </w:pPr>
      <w:r>
        <w:rPr>
          <w:sz w:val="24"/>
          <w:szCs w:val="24"/>
          <w:lang w:val="en-GB"/>
        </w:rPr>
        <w:br w:type="page"/>
      </w:r>
    </w:p>
    <w:p w:rsidR="00CF7719" w:rsidRDefault="00CF7719" w:rsidP="00CF7719">
      <w:pPr>
        <w:spacing w:beforeAutospacing="1"/>
        <w:ind w:left="-300"/>
        <w:outlineLvl w:val="1"/>
        <w:rPr>
          <w:b/>
          <w:bCs/>
          <w:color w:val="49494A"/>
          <w:kern w:val="36"/>
          <w:sz w:val="48"/>
          <w:szCs w:val="48"/>
          <w:lang w:val="en"/>
        </w:rPr>
      </w:pPr>
      <w:r>
        <w:rPr>
          <w:color w:val="DD4A51"/>
          <w:kern w:val="36"/>
          <w:sz w:val="77"/>
          <w:szCs w:val="77"/>
          <w:lang w:val="en"/>
        </w:rPr>
        <w:lastRenderedPageBreak/>
        <w:t>Education and training policies based on evidence</w:t>
      </w:r>
      <w:r>
        <w:rPr>
          <w:b/>
          <w:bCs/>
          <w:color w:val="49494A"/>
          <w:kern w:val="36"/>
          <w:sz w:val="48"/>
          <w:szCs w:val="48"/>
          <w:lang w:val="en"/>
        </w:rPr>
        <w:t xml:space="preserve"> </w:t>
      </w:r>
    </w:p>
    <w:p w:rsidR="00CF7719" w:rsidRDefault="00CF7719" w:rsidP="00CF7719">
      <w:pPr>
        <w:pStyle w:val="Nadpis5"/>
        <w:rPr>
          <w:color w:val="49494A"/>
          <w:lang w:val="en"/>
        </w:rPr>
      </w:pPr>
      <w:r>
        <w:rPr>
          <w:color w:val="49494A"/>
          <w:lang w:val="en"/>
        </w:rPr>
        <w:t>What is it about?</w:t>
      </w:r>
    </w:p>
    <w:p w:rsidR="00CF7719" w:rsidRDefault="00CF7719" w:rsidP="00CF7719">
      <w:pPr>
        <w:pStyle w:val="Normlnweb"/>
        <w:rPr>
          <w:color w:val="49494A"/>
          <w:sz w:val="15"/>
          <w:szCs w:val="15"/>
          <w:lang w:val="en"/>
        </w:rPr>
      </w:pPr>
      <w:r>
        <w:rPr>
          <w:color w:val="49494A"/>
          <w:sz w:val="15"/>
          <w:szCs w:val="15"/>
          <w:lang w:val="en"/>
        </w:rPr>
        <w:t>A strong evidence-base and solid analyses are key elements for informed policy discussions and policy developments in education and training.</w:t>
      </w:r>
    </w:p>
    <w:p w:rsidR="00CF7719" w:rsidRDefault="00CF7719" w:rsidP="00CF7719">
      <w:pPr>
        <w:pStyle w:val="Normlnweb"/>
        <w:rPr>
          <w:color w:val="49494A"/>
          <w:sz w:val="15"/>
          <w:szCs w:val="15"/>
          <w:lang w:val="en"/>
        </w:rPr>
      </w:pPr>
      <w:r>
        <w:rPr>
          <w:color w:val="49494A"/>
          <w:sz w:val="15"/>
          <w:szCs w:val="15"/>
          <w:lang w:val="en"/>
        </w:rPr>
        <w:t xml:space="preserve">The Directorate General for Education and Culture (DG EAC) draws on a range of sources, including key benchmarks and indicators, studies, international surveys, and secondary analyses, to ensure that this approach is properly included in the implementation of the </w:t>
      </w:r>
      <w:hyperlink r:id="rId60" w:history="1">
        <w:r>
          <w:rPr>
            <w:rStyle w:val="Hypertextovodkaz"/>
            <w:sz w:val="15"/>
            <w:szCs w:val="15"/>
            <w:lang w:val="en"/>
          </w:rPr>
          <w:t>strategic framework</w:t>
        </w:r>
      </w:hyperlink>
      <w:r>
        <w:rPr>
          <w:color w:val="49494A"/>
          <w:sz w:val="15"/>
          <w:szCs w:val="15"/>
          <w:lang w:val="en"/>
        </w:rPr>
        <w:t>.</w:t>
      </w:r>
    </w:p>
    <w:p w:rsidR="00CF7719" w:rsidRDefault="00CF7719" w:rsidP="00CF7719">
      <w:pPr>
        <w:pStyle w:val="Normlnweb"/>
        <w:rPr>
          <w:color w:val="49494A"/>
          <w:sz w:val="15"/>
          <w:szCs w:val="15"/>
          <w:lang w:val="en"/>
        </w:rPr>
      </w:pPr>
      <w:r>
        <w:rPr>
          <w:color w:val="49494A"/>
          <w:sz w:val="15"/>
          <w:szCs w:val="15"/>
          <w:lang w:val="en"/>
        </w:rPr>
        <w:t xml:space="preserve">European </w:t>
      </w:r>
      <w:r>
        <w:rPr>
          <w:rStyle w:val="Siln"/>
          <w:color w:val="49494A"/>
          <w:sz w:val="15"/>
          <w:szCs w:val="15"/>
          <w:lang w:val="en"/>
        </w:rPr>
        <w:t>benchmarks</w:t>
      </w:r>
      <w:r>
        <w:rPr>
          <w:color w:val="49494A"/>
          <w:sz w:val="15"/>
          <w:szCs w:val="15"/>
          <w:lang w:val="en"/>
        </w:rPr>
        <w:t xml:space="preserve"> target a level to be achieved by 2020 in the fields of:</w:t>
      </w:r>
    </w:p>
    <w:p w:rsidR="00CF7719" w:rsidRDefault="00CF7719" w:rsidP="00CF7719">
      <w:pPr>
        <w:numPr>
          <w:ilvl w:val="0"/>
          <w:numId w:val="4"/>
        </w:numPr>
        <w:spacing w:before="100" w:beforeAutospacing="1" w:after="100" w:afterAutospacing="1" w:line="240" w:lineRule="auto"/>
        <w:rPr>
          <w:color w:val="49494A"/>
          <w:sz w:val="15"/>
          <w:szCs w:val="15"/>
          <w:lang w:val="en"/>
        </w:rPr>
      </w:pPr>
      <w:r>
        <w:rPr>
          <w:color w:val="49494A"/>
          <w:sz w:val="15"/>
          <w:szCs w:val="15"/>
          <w:lang w:val="en"/>
        </w:rPr>
        <w:t>early school leaving,</w:t>
      </w:r>
    </w:p>
    <w:p w:rsidR="00CF7719" w:rsidRDefault="00CF7719" w:rsidP="00CF7719">
      <w:pPr>
        <w:numPr>
          <w:ilvl w:val="0"/>
          <w:numId w:val="4"/>
        </w:numPr>
        <w:spacing w:before="100" w:beforeAutospacing="1" w:after="100" w:afterAutospacing="1" w:line="240" w:lineRule="auto"/>
        <w:rPr>
          <w:color w:val="49494A"/>
          <w:sz w:val="15"/>
          <w:szCs w:val="15"/>
          <w:lang w:val="en"/>
        </w:rPr>
      </w:pPr>
      <w:r>
        <w:rPr>
          <w:color w:val="49494A"/>
          <w:sz w:val="15"/>
          <w:szCs w:val="15"/>
          <w:lang w:val="en"/>
        </w:rPr>
        <w:t>higher education completion,</w:t>
      </w:r>
    </w:p>
    <w:p w:rsidR="00CF7719" w:rsidRDefault="00CF7719" w:rsidP="00CF7719">
      <w:pPr>
        <w:numPr>
          <w:ilvl w:val="0"/>
          <w:numId w:val="4"/>
        </w:numPr>
        <w:spacing w:before="100" w:beforeAutospacing="1" w:after="100" w:afterAutospacing="1" w:line="240" w:lineRule="auto"/>
        <w:rPr>
          <w:color w:val="49494A"/>
          <w:sz w:val="15"/>
          <w:szCs w:val="15"/>
          <w:lang w:val="en"/>
        </w:rPr>
      </w:pPr>
      <w:r>
        <w:rPr>
          <w:color w:val="49494A"/>
          <w:sz w:val="15"/>
          <w:szCs w:val="15"/>
          <w:lang w:val="en"/>
        </w:rPr>
        <w:t>basic skills,</w:t>
      </w:r>
    </w:p>
    <w:p w:rsidR="00CF7719" w:rsidRDefault="00CF7719" w:rsidP="00CF7719">
      <w:pPr>
        <w:numPr>
          <w:ilvl w:val="0"/>
          <w:numId w:val="4"/>
        </w:numPr>
        <w:spacing w:before="100" w:beforeAutospacing="1" w:after="100" w:afterAutospacing="1" w:line="240" w:lineRule="auto"/>
        <w:rPr>
          <w:color w:val="49494A"/>
          <w:sz w:val="15"/>
          <w:szCs w:val="15"/>
          <w:lang w:val="en"/>
        </w:rPr>
      </w:pPr>
      <w:r>
        <w:rPr>
          <w:color w:val="49494A"/>
          <w:sz w:val="15"/>
          <w:szCs w:val="15"/>
          <w:lang w:val="en"/>
        </w:rPr>
        <w:t>early childhood education,</w:t>
      </w:r>
    </w:p>
    <w:p w:rsidR="00CF7719" w:rsidRDefault="00CF7719" w:rsidP="00CF7719">
      <w:pPr>
        <w:numPr>
          <w:ilvl w:val="0"/>
          <w:numId w:val="4"/>
        </w:numPr>
        <w:spacing w:before="100" w:beforeAutospacing="1" w:after="100" w:afterAutospacing="1" w:line="240" w:lineRule="auto"/>
        <w:rPr>
          <w:color w:val="49494A"/>
          <w:sz w:val="15"/>
          <w:szCs w:val="15"/>
          <w:lang w:val="en"/>
        </w:rPr>
      </w:pPr>
      <w:r>
        <w:rPr>
          <w:color w:val="49494A"/>
          <w:sz w:val="15"/>
          <w:szCs w:val="15"/>
          <w:lang w:val="en"/>
        </w:rPr>
        <w:t>lifelong learning,</w:t>
      </w:r>
    </w:p>
    <w:p w:rsidR="00CF7719" w:rsidRDefault="00CF7719" w:rsidP="00CF7719">
      <w:pPr>
        <w:numPr>
          <w:ilvl w:val="0"/>
          <w:numId w:val="4"/>
        </w:numPr>
        <w:spacing w:before="100" w:beforeAutospacing="1" w:after="100" w:afterAutospacing="1" w:line="240" w:lineRule="auto"/>
        <w:rPr>
          <w:color w:val="49494A"/>
          <w:sz w:val="15"/>
          <w:szCs w:val="15"/>
          <w:lang w:val="en"/>
        </w:rPr>
      </w:pPr>
      <w:r>
        <w:rPr>
          <w:color w:val="49494A"/>
          <w:sz w:val="15"/>
          <w:szCs w:val="15"/>
          <w:lang w:val="en"/>
        </w:rPr>
        <w:t xml:space="preserve">transition to the </w:t>
      </w:r>
      <w:proofErr w:type="spellStart"/>
      <w:r>
        <w:rPr>
          <w:color w:val="49494A"/>
          <w:sz w:val="15"/>
          <w:szCs w:val="15"/>
          <w:lang w:val="en"/>
        </w:rPr>
        <w:t>labour</w:t>
      </w:r>
      <w:proofErr w:type="spellEnd"/>
      <w:r>
        <w:rPr>
          <w:color w:val="49494A"/>
          <w:sz w:val="15"/>
          <w:szCs w:val="15"/>
          <w:lang w:val="en"/>
        </w:rPr>
        <w:t xml:space="preserve"> market,</w:t>
      </w:r>
    </w:p>
    <w:p w:rsidR="00CF7719" w:rsidRDefault="00CF7719" w:rsidP="00CF7719">
      <w:pPr>
        <w:numPr>
          <w:ilvl w:val="0"/>
          <w:numId w:val="4"/>
        </w:numPr>
        <w:spacing w:before="100" w:beforeAutospacing="1" w:after="100" w:afterAutospacing="1" w:line="240" w:lineRule="auto"/>
        <w:rPr>
          <w:color w:val="49494A"/>
          <w:sz w:val="15"/>
          <w:szCs w:val="15"/>
          <w:lang w:val="en"/>
        </w:rPr>
      </w:pPr>
      <w:r>
        <w:rPr>
          <w:color w:val="49494A"/>
          <w:sz w:val="15"/>
          <w:szCs w:val="15"/>
          <w:lang w:val="en"/>
        </w:rPr>
        <w:t>mobility between countries.</w:t>
      </w:r>
    </w:p>
    <w:p w:rsidR="00CF7719" w:rsidRDefault="00CF7719" w:rsidP="00CF7719">
      <w:pPr>
        <w:pStyle w:val="Normlnweb"/>
        <w:rPr>
          <w:color w:val="49494A"/>
          <w:sz w:val="15"/>
          <w:szCs w:val="15"/>
          <w:lang w:val="en"/>
        </w:rPr>
      </w:pPr>
      <w:r>
        <w:rPr>
          <w:rStyle w:val="Siln"/>
          <w:color w:val="49494A"/>
          <w:sz w:val="15"/>
          <w:szCs w:val="15"/>
          <w:lang w:val="en"/>
        </w:rPr>
        <w:t>Core indicators</w:t>
      </w:r>
      <w:r>
        <w:rPr>
          <w:color w:val="49494A"/>
          <w:sz w:val="15"/>
          <w:szCs w:val="15"/>
          <w:lang w:val="en"/>
        </w:rPr>
        <w:t xml:space="preserve"> are also used to monitor progress in a number of additional priority areas currently not covered by benchmarks, such as </w:t>
      </w:r>
      <w:hyperlink r:id="rId61" w:tgtFrame="_blank" w:history="1">
        <w:r>
          <w:rPr>
            <w:rStyle w:val="Hypertextovodkaz"/>
            <w:sz w:val="15"/>
            <w:szCs w:val="15"/>
            <w:lang w:val="en"/>
          </w:rPr>
          <w:t xml:space="preserve">languages </w:t>
        </w:r>
        <w:r>
          <w:rPr>
            <w:noProof/>
            <w:color w:val="009DC7"/>
            <w:sz w:val="15"/>
            <w:szCs w:val="15"/>
            <w:lang w:val="cs-CZ" w:eastAsia="cs-CZ"/>
          </w:rPr>
          <w:drawing>
            <wp:inline distT="0" distB="0" distL="0" distR="0">
              <wp:extent cx="104775" cy="104775"/>
              <wp:effectExtent l="0" t="0" r="9525" b="9525"/>
              <wp:docPr id="12" name="Picture 12" descr="http://ec.europa.eu/education/images/icon-ext-current.gif">
                <a:hlinkClick xmlns:a="http://schemas.openxmlformats.org/drawingml/2006/main" r:id="rId6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ec.europa.eu/education/images/icon-ext-current.gif">
                        <a:hlinkClick r:id="rId61" tgtFrame="_blank"/>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hyperlink>
      <w:r>
        <w:rPr>
          <w:color w:val="49494A"/>
          <w:sz w:val="15"/>
          <w:szCs w:val="15"/>
          <w:lang w:val="en"/>
        </w:rPr>
        <w:t xml:space="preserve">, </w:t>
      </w:r>
      <w:hyperlink r:id="rId63" w:history="1">
        <w:r>
          <w:rPr>
            <w:rStyle w:val="Hypertextovodkaz"/>
            <w:sz w:val="15"/>
            <w:szCs w:val="15"/>
            <w:lang w:val="en"/>
          </w:rPr>
          <w:t>adults’ skills</w:t>
        </w:r>
      </w:hyperlink>
      <w:r>
        <w:rPr>
          <w:color w:val="49494A"/>
          <w:sz w:val="15"/>
          <w:szCs w:val="15"/>
          <w:lang w:val="en"/>
        </w:rPr>
        <w:t xml:space="preserve">, </w:t>
      </w:r>
      <w:hyperlink r:id="rId64" w:history="1">
        <w:r>
          <w:rPr>
            <w:rStyle w:val="Hypertextovodkaz"/>
            <w:sz w:val="15"/>
            <w:szCs w:val="15"/>
            <w:lang w:val="en"/>
          </w:rPr>
          <w:t>teachers</w:t>
        </w:r>
      </w:hyperlink>
      <w:r>
        <w:rPr>
          <w:color w:val="49494A"/>
          <w:sz w:val="15"/>
          <w:szCs w:val="15"/>
          <w:lang w:val="en"/>
        </w:rPr>
        <w:t xml:space="preserve">, investment in education and training, </w:t>
      </w:r>
      <w:hyperlink r:id="rId65" w:history="1">
        <w:r>
          <w:rPr>
            <w:rStyle w:val="Hypertextovodkaz"/>
            <w:sz w:val="15"/>
            <w:szCs w:val="15"/>
            <w:lang w:val="en"/>
          </w:rPr>
          <w:t>ICT in education</w:t>
        </w:r>
      </w:hyperlink>
      <w:r>
        <w:rPr>
          <w:color w:val="49494A"/>
          <w:sz w:val="15"/>
          <w:szCs w:val="15"/>
          <w:lang w:val="en"/>
        </w:rPr>
        <w:t xml:space="preserve">, </w:t>
      </w:r>
      <w:hyperlink r:id="rId66" w:history="1">
        <w:r>
          <w:rPr>
            <w:rStyle w:val="Hypertextovodkaz"/>
            <w:sz w:val="15"/>
            <w:szCs w:val="15"/>
            <w:lang w:val="en"/>
          </w:rPr>
          <w:t>entrepreneurship in education</w:t>
        </w:r>
      </w:hyperlink>
      <w:r>
        <w:rPr>
          <w:color w:val="49494A"/>
          <w:sz w:val="15"/>
          <w:szCs w:val="15"/>
          <w:lang w:val="en"/>
        </w:rPr>
        <w:t xml:space="preserve"> and </w:t>
      </w:r>
      <w:hyperlink r:id="rId67" w:history="1">
        <w:r>
          <w:rPr>
            <w:rStyle w:val="Hypertextovodkaz"/>
            <w:sz w:val="15"/>
            <w:szCs w:val="15"/>
            <w:lang w:val="en"/>
          </w:rPr>
          <w:t>VET</w:t>
        </w:r>
      </w:hyperlink>
      <w:r>
        <w:rPr>
          <w:color w:val="49494A"/>
          <w:sz w:val="15"/>
          <w:szCs w:val="15"/>
          <w:lang w:val="en"/>
        </w:rPr>
        <w:t>.</w:t>
      </w:r>
    </w:p>
    <w:p w:rsidR="00CF7719" w:rsidRDefault="00CF7719" w:rsidP="00CF7719">
      <w:pPr>
        <w:pStyle w:val="Nadpis5"/>
        <w:rPr>
          <w:color w:val="49494A"/>
          <w:lang w:val="en"/>
        </w:rPr>
      </w:pPr>
      <w:r>
        <w:rPr>
          <w:color w:val="49494A"/>
          <w:lang w:val="en"/>
        </w:rPr>
        <w:t>What is the Commission doing?</w:t>
      </w:r>
    </w:p>
    <w:p w:rsidR="00CF7719" w:rsidRDefault="00CF7719" w:rsidP="00CF7719">
      <w:pPr>
        <w:pStyle w:val="Normlnweb"/>
        <w:rPr>
          <w:color w:val="49494A"/>
          <w:sz w:val="15"/>
          <w:szCs w:val="15"/>
          <w:lang w:val="en"/>
        </w:rPr>
      </w:pPr>
      <w:r>
        <w:rPr>
          <w:color w:val="49494A"/>
          <w:sz w:val="15"/>
          <w:szCs w:val="15"/>
          <w:lang w:val="en"/>
        </w:rPr>
        <w:t xml:space="preserve">The </w:t>
      </w:r>
      <w:hyperlink r:id="rId68" w:tgtFrame="_blank" w:history="1">
        <w:r>
          <w:rPr>
            <w:rStyle w:val="Hypertextovodkaz"/>
            <w:sz w:val="15"/>
            <w:szCs w:val="15"/>
            <w:lang w:val="en"/>
          </w:rPr>
          <w:t>annual Education and Training Monitor</w:t>
        </w:r>
      </w:hyperlink>
      <w:r>
        <w:rPr>
          <w:color w:val="49494A"/>
          <w:sz w:val="15"/>
          <w:szCs w:val="15"/>
          <w:lang w:val="en"/>
        </w:rPr>
        <w:t xml:space="preserve"> sets out the progress on the </w:t>
      </w:r>
      <w:hyperlink r:id="rId69" w:history="1">
        <w:r>
          <w:rPr>
            <w:rStyle w:val="Hypertextovodkaz"/>
            <w:sz w:val="15"/>
            <w:szCs w:val="15"/>
            <w:lang w:val="en"/>
          </w:rPr>
          <w:t>ET 2020</w:t>
        </w:r>
      </w:hyperlink>
      <w:r>
        <w:rPr>
          <w:color w:val="49494A"/>
          <w:sz w:val="15"/>
          <w:szCs w:val="15"/>
          <w:lang w:val="en"/>
        </w:rPr>
        <w:t xml:space="preserve"> benchmarks and core indicators, including the </w:t>
      </w:r>
      <w:hyperlink r:id="rId70" w:tgtFrame="_blank" w:history="1">
        <w:r>
          <w:rPr>
            <w:rStyle w:val="Hypertextovodkaz"/>
            <w:sz w:val="15"/>
            <w:szCs w:val="15"/>
            <w:lang w:val="en"/>
          </w:rPr>
          <w:t xml:space="preserve">Europe 2020 headline target </w:t>
        </w:r>
        <w:r>
          <w:rPr>
            <w:noProof/>
            <w:color w:val="009DC7"/>
            <w:sz w:val="15"/>
            <w:szCs w:val="15"/>
            <w:lang w:val="cs-CZ" w:eastAsia="cs-CZ"/>
          </w:rPr>
          <w:drawing>
            <wp:inline distT="0" distB="0" distL="0" distR="0">
              <wp:extent cx="104775" cy="104775"/>
              <wp:effectExtent l="0" t="0" r="9525" b="9525"/>
              <wp:docPr id="11" name="Picture 11" descr="http://ec.europa.eu/education/images/icon-ext-current.gif">
                <a:hlinkClick xmlns:a="http://schemas.openxmlformats.org/drawingml/2006/main" r:id="rId7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ec.europa.eu/education/images/icon-ext-current.gif">
                        <a:hlinkClick r:id="rId70" tgtFrame="_blank"/>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hyperlink>
      <w:r>
        <w:rPr>
          <w:color w:val="49494A"/>
          <w:sz w:val="15"/>
          <w:szCs w:val="15"/>
          <w:lang w:val="en"/>
        </w:rPr>
        <w:t xml:space="preserve">on education and training. It illustrates the evolution of education and training systems across Europe. It is accompanied by 28 individual country reports and an online </w:t>
      </w:r>
      <w:proofErr w:type="spellStart"/>
      <w:r>
        <w:rPr>
          <w:color w:val="49494A"/>
          <w:sz w:val="15"/>
          <w:szCs w:val="15"/>
          <w:lang w:val="en"/>
        </w:rPr>
        <w:t>visualisation</w:t>
      </w:r>
      <w:proofErr w:type="spellEnd"/>
      <w:r>
        <w:rPr>
          <w:color w:val="49494A"/>
          <w:sz w:val="15"/>
          <w:szCs w:val="15"/>
          <w:lang w:val="en"/>
        </w:rPr>
        <w:t xml:space="preserve"> tool.</w:t>
      </w:r>
    </w:p>
    <w:p w:rsidR="00CF7719" w:rsidRDefault="00CF7719" w:rsidP="00CF7719">
      <w:pPr>
        <w:pStyle w:val="Normlnweb"/>
        <w:rPr>
          <w:color w:val="49494A"/>
          <w:sz w:val="15"/>
          <w:szCs w:val="15"/>
          <w:lang w:val="en"/>
        </w:rPr>
      </w:pPr>
      <w:r>
        <w:rPr>
          <w:color w:val="49494A"/>
          <w:sz w:val="15"/>
          <w:szCs w:val="15"/>
          <w:lang w:val="en"/>
        </w:rPr>
        <w:t xml:space="preserve">To facilitate policy dialogue with Member States on new and emerging issues, DG EAC also conducts studies and draws on analyses, forecasts, and system-level information from other </w:t>
      </w:r>
      <w:proofErr w:type="spellStart"/>
      <w:r>
        <w:rPr>
          <w:color w:val="49494A"/>
          <w:sz w:val="15"/>
          <w:szCs w:val="15"/>
          <w:lang w:val="en"/>
        </w:rPr>
        <w:t>organisations</w:t>
      </w:r>
      <w:proofErr w:type="spellEnd"/>
      <w:r>
        <w:rPr>
          <w:color w:val="49494A"/>
          <w:sz w:val="15"/>
          <w:szCs w:val="15"/>
          <w:lang w:val="en"/>
        </w:rPr>
        <w:t>, agencies, and Commission services.</w:t>
      </w:r>
    </w:p>
    <w:p w:rsidR="00CF7719" w:rsidRDefault="00CF7719" w:rsidP="00CF7719">
      <w:pPr>
        <w:pStyle w:val="normaltext"/>
        <w:rPr>
          <w:color w:val="49494A"/>
          <w:sz w:val="15"/>
          <w:szCs w:val="15"/>
          <w:lang w:val="en"/>
        </w:rPr>
      </w:pPr>
      <w:r>
        <w:rPr>
          <w:color w:val="49494A"/>
          <w:sz w:val="15"/>
          <w:szCs w:val="15"/>
          <w:lang w:val="en"/>
        </w:rPr>
        <w:t xml:space="preserve">DG EAC also works with </w:t>
      </w:r>
      <w:r>
        <w:rPr>
          <w:rStyle w:val="Siln"/>
          <w:color w:val="49494A"/>
          <w:sz w:val="15"/>
          <w:szCs w:val="15"/>
          <w:lang w:val="en"/>
        </w:rPr>
        <w:t xml:space="preserve">EURYDICE, </w:t>
      </w:r>
      <w:proofErr w:type="spellStart"/>
      <w:r>
        <w:rPr>
          <w:rStyle w:val="Siln"/>
          <w:color w:val="49494A"/>
          <w:sz w:val="15"/>
          <w:szCs w:val="15"/>
          <w:lang w:val="en"/>
        </w:rPr>
        <w:t>Cedefop</w:t>
      </w:r>
      <w:proofErr w:type="spellEnd"/>
      <w:r>
        <w:rPr>
          <w:rStyle w:val="Siln"/>
          <w:color w:val="49494A"/>
          <w:sz w:val="15"/>
          <w:szCs w:val="15"/>
          <w:lang w:val="en"/>
        </w:rPr>
        <w:t>, and the Joint Research Centre</w:t>
      </w:r>
      <w:r>
        <w:rPr>
          <w:color w:val="49494A"/>
          <w:sz w:val="15"/>
          <w:szCs w:val="15"/>
          <w:lang w:val="en"/>
        </w:rPr>
        <w:t xml:space="preserve"> to improve its knowledge of education and training systems.</w:t>
      </w:r>
    </w:p>
    <w:p w:rsidR="00CF7719" w:rsidRDefault="00CF7719" w:rsidP="00CF7719">
      <w:pPr>
        <w:pStyle w:val="Nadpis5"/>
        <w:rPr>
          <w:color w:val="49494A"/>
          <w:lang w:val="en"/>
        </w:rPr>
      </w:pPr>
      <w:r>
        <w:rPr>
          <w:color w:val="49494A"/>
          <w:lang w:val="en"/>
        </w:rPr>
        <w:t>What has been done so far?</w:t>
      </w:r>
    </w:p>
    <w:p w:rsidR="00CF7719" w:rsidRDefault="00CF7719" w:rsidP="00CF7719">
      <w:pPr>
        <w:pStyle w:val="normaltext"/>
        <w:rPr>
          <w:color w:val="49494A"/>
          <w:sz w:val="15"/>
          <w:szCs w:val="15"/>
          <w:lang w:val="en"/>
        </w:rPr>
      </w:pPr>
      <w:r>
        <w:rPr>
          <w:color w:val="49494A"/>
          <w:sz w:val="15"/>
          <w:szCs w:val="15"/>
          <w:lang w:val="en"/>
        </w:rPr>
        <w:t xml:space="preserve">An Education and Skills Cooperation Arrangement was signed between DG EAC and </w:t>
      </w:r>
      <w:hyperlink r:id="rId71" w:tgtFrame="_blank" w:history="1">
        <w:proofErr w:type="spellStart"/>
        <w:r>
          <w:rPr>
            <w:color w:val="009DC7"/>
            <w:sz w:val="15"/>
            <w:szCs w:val="15"/>
            <w:lang w:val="en"/>
          </w:rPr>
          <w:t>Organisation</w:t>
        </w:r>
        <w:proofErr w:type="spellEnd"/>
        <w:r>
          <w:rPr>
            <w:color w:val="009DC7"/>
            <w:sz w:val="15"/>
            <w:szCs w:val="15"/>
            <w:lang w:val="en"/>
          </w:rPr>
          <w:t xml:space="preserve"> for Economic Co-operation and Development </w:t>
        </w:r>
        <w:r>
          <w:rPr>
            <w:noProof/>
            <w:color w:val="009DC7"/>
            <w:sz w:val="15"/>
            <w:szCs w:val="15"/>
            <w:lang w:val="cs-CZ" w:eastAsia="cs-CZ"/>
          </w:rPr>
          <w:drawing>
            <wp:inline distT="0" distB="0" distL="0" distR="0">
              <wp:extent cx="85725" cy="85725"/>
              <wp:effectExtent l="0" t="0" r="9525" b="9525"/>
              <wp:docPr id="10" name="Picture 10" descr="http://ec.europa.eu/education/images/icon-ext-europa.gif">
                <a:hlinkClick xmlns:a="http://schemas.openxmlformats.org/drawingml/2006/main" r:id="rId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ec.europa.eu/education/images/icon-ext-europa.gif">
                        <a:hlinkClick r:id="rId71" tgtFrame="_blank"/>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hyperlink>
      <w:r>
        <w:rPr>
          <w:color w:val="49494A"/>
          <w:sz w:val="15"/>
          <w:szCs w:val="15"/>
          <w:lang w:val="en"/>
        </w:rPr>
        <w:t xml:space="preserve">, and international surveys were identified as one of the main areas of common interest. In 2013 DG EAC and the OECD </w:t>
      </w:r>
      <w:r>
        <w:rPr>
          <w:b/>
          <w:bCs/>
          <w:color w:val="49494A"/>
          <w:sz w:val="15"/>
          <w:szCs w:val="15"/>
          <w:lang w:val="en"/>
        </w:rPr>
        <w:t>jointly published the results of two skills assessments</w:t>
      </w:r>
      <w:r>
        <w:rPr>
          <w:color w:val="49494A"/>
          <w:sz w:val="15"/>
          <w:szCs w:val="15"/>
          <w:lang w:val="en"/>
        </w:rPr>
        <w:t xml:space="preserve">, the </w:t>
      </w:r>
      <w:hyperlink r:id="rId73" w:anchor="PISA" w:history="1">
        <w:proofErr w:type="spellStart"/>
        <w:r>
          <w:rPr>
            <w:rStyle w:val="Hypertextovodkaz"/>
            <w:sz w:val="15"/>
            <w:szCs w:val="15"/>
            <w:lang w:val="en"/>
          </w:rPr>
          <w:t>Programme</w:t>
        </w:r>
        <w:proofErr w:type="spellEnd"/>
        <w:r>
          <w:rPr>
            <w:rStyle w:val="Hypertextovodkaz"/>
            <w:sz w:val="15"/>
            <w:szCs w:val="15"/>
            <w:lang w:val="en"/>
          </w:rPr>
          <w:t xml:space="preserve"> for International Student Assessment (PISA)</w:t>
        </w:r>
      </w:hyperlink>
      <w:r>
        <w:rPr>
          <w:color w:val="49494A"/>
          <w:sz w:val="15"/>
          <w:szCs w:val="15"/>
          <w:lang w:val="en"/>
        </w:rPr>
        <w:t xml:space="preserve"> and the </w:t>
      </w:r>
      <w:hyperlink r:id="rId74" w:anchor="PIAAC" w:history="1">
        <w:r>
          <w:rPr>
            <w:rStyle w:val="Hypertextovodkaz"/>
            <w:sz w:val="15"/>
            <w:szCs w:val="15"/>
            <w:lang w:val="en"/>
          </w:rPr>
          <w:t>Survey of Adult Skills (PIAAC)</w:t>
        </w:r>
      </w:hyperlink>
      <w:r>
        <w:rPr>
          <w:color w:val="49494A"/>
          <w:sz w:val="15"/>
          <w:szCs w:val="15"/>
          <w:lang w:val="en"/>
        </w:rPr>
        <w:t>.</w:t>
      </w:r>
    </w:p>
    <w:p w:rsidR="00CF7719" w:rsidRDefault="00CF7719" w:rsidP="00CF7719">
      <w:pPr>
        <w:pStyle w:val="normaltext"/>
        <w:rPr>
          <w:color w:val="49494A"/>
          <w:sz w:val="15"/>
          <w:szCs w:val="15"/>
          <w:lang w:val="en"/>
        </w:rPr>
      </w:pPr>
      <w:r>
        <w:rPr>
          <w:color w:val="49494A"/>
          <w:sz w:val="15"/>
          <w:szCs w:val="15"/>
          <w:lang w:val="en"/>
        </w:rPr>
        <w:t>Cooperation with the OECD also covers skills strategies, entrepreneurial institutions and efficiency of schools systems.</w:t>
      </w:r>
    </w:p>
    <w:p w:rsidR="00CF7719" w:rsidRDefault="00CF7719" w:rsidP="00CF7719">
      <w:pPr>
        <w:pStyle w:val="Nadpis5"/>
        <w:rPr>
          <w:color w:val="49494A"/>
          <w:lang w:val="en"/>
        </w:rPr>
      </w:pPr>
      <w:r>
        <w:rPr>
          <w:color w:val="49494A"/>
          <w:lang w:val="en"/>
        </w:rPr>
        <w:t>What are the next steps?</w:t>
      </w:r>
    </w:p>
    <w:p w:rsidR="00CF7719" w:rsidRDefault="00CF7719" w:rsidP="00CF7719">
      <w:pPr>
        <w:numPr>
          <w:ilvl w:val="0"/>
          <w:numId w:val="5"/>
        </w:numPr>
        <w:spacing w:before="100" w:beforeAutospacing="1" w:after="100" w:afterAutospacing="1" w:line="240" w:lineRule="auto"/>
        <w:rPr>
          <w:color w:val="49494A"/>
          <w:sz w:val="15"/>
          <w:szCs w:val="15"/>
          <w:lang w:val="en"/>
        </w:rPr>
      </w:pPr>
      <w:r>
        <w:rPr>
          <w:color w:val="49494A"/>
          <w:sz w:val="15"/>
          <w:szCs w:val="15"/>
          <w:lang w:val="en"/>
        </w:rPr>
        <w:t>Publication of the 2014 Monitor on Education and Training (2015)</w:t>
      </w:r>
    </w:p>
    <w:p w:rsidR="00CF7719" w:rsidRDefault="00CF7719" w:rsidP="00CF7719">
      <w:pPr>
        <w:numPr>
          <w:ilvl w:val="0"/>
          <w:numId w:val="5"/>
        </w:numPr>
        <w:spacing w:before="100" w:beforeAutospacing="1" w:after="100" w:afterAutospacing="1" w:line="240" w:lineRule="auto"/>
        <w:rPr>
          <w:color w:val="49494A"/>
          <w:sz w:val="15"/>
          <w:szCs w:val="15"/>
          <w:lang w:val="en"/>
        </w:rPr>
      </w:pPr>
      <w:r>
        <w:rPr>
          <w:color w:val="49494A"/>
          <w:sz w:val="15"/>
          <w:szCs w:val="15"/>
          <w:lang w:val="en"/>
        </w:rPr>
        <w:t xml:space="preserve">Launch of the </w:t>
      </w:r>
      <w:hyperlink r:id="rId75" w:tgtFrame="_blank" w:history="1">
        <w:r>
          <w:rPr>
            <w:color w:val="009DC7"/>
            <w:sz w:val="15"/>
            <w:szCs w:val="15"/>
            <w:lang w:val="en"/>
          </w:rPr>
          <w:t xml:space="preserve">Teaching and Learning International Survey (TALIS) </w:t>
        </w:r>
        <w:r>
          <w:rPr>
            <w:noProof/>
            <w:color w:val="009DC7"/>
            <w:sz w:val="15"/>
            <w:szCs w:val="15"/>
            <w:lang w:val="cs-CZ" w:eastAsia="cs-CZ"/>
          </w:rPr>
          <w:drawing>
            <wp:inline distT="0" distB="0" distL="0" distR="0">
              <wp:extent cx="85725" cy="85725"/>
              <wp:effectExtent l="0" t="0" r="9525" b="9525"/>
              <wp:docPr id="9" name="Picture 9" descr="http://ec.europa.eu/education/images/icon-ext-europa.gif">
                <a:hlinkClick xmlns:a="http://schemas.openxmlformats.org/drawingml/2006/main" r:id="rId7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ec.europa.eu/education/images/icon-ext-europa.gif">
                        <a:hlinkClick r:id="rId75" tgtFrame="_blank"/>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hyperlink>
    </w:p>
    <w:p w:rsidR="00CF7719" w:rsidRDefault="00CF7719" w:rsidP="00CF7719">
      <w:pPr>
        <w:numPr>
          <w:ilvl w:val="0"/>
          <w:numId w:val="5"/>
        </w:numPr>
        <w:spacing w:before="100" w:beforeAutospacing="1" w:after="100" w:afterAutospacing="1" w:line="240" w:lineRule="auto"/>
        <w:rPr>
          <w:color w:val="49494A"/>
          <w:sz w:val="15"/>
          <w:szCs w:val="15"/>
          <w:lang w:val="en"/>
        </w:rPr>
      </w:pPr>
      <w:r>
        <w:rPr>
          <w:color w:val="49494A"/>
          <w:sz w:val="15"/>
          <w:szCs w:val="15"/>
          <w:lang w:val="en"/>
        </w:rPr>
        <w:t>Joint implementation of OECD projects on the efficiency of school systems and national skills strategies.</w:t>
      </w:r>
    </w:p>
    <w:p w:rsidR="00CF7719" w:rsidRDefault="00CF7719">
      <w:pPr>
        <w:rPr>
          <w:sz w:val="24"/>
          <w:szCs w:val="24"/>
          <w:lang w:val="en"/>
        </w:rPr>
      </w:pPr>
      <w:r>
        <w:rPr>
          <w:sz w:val="24"/>
          <w:szCs w:val="24"/>
          <w:lang w:val="en"/>
        </w:rPr>
        <w:br w:type="page"/>
      </w:r>
    </w:p>
    <w:p w:rsidR="00CF7719" w:rsidRDefault="00CF7719" w:rsidP="00CF7719">
      <w:pPr>
        <w:spacing w:beforeAutospacing="1"/>
        <w:ind w:left="-300"/>
        <w:outlineLvl w:val="1"/>
        <w:rPr>
          <w:b/>
          <w:bCs/>
          <w:color w:val="49494A"/>
          <w:kern w:val="36"/>
          <w:sz w:val="48"/>
          <w:szCs w:val="48"/>
          <w:lang w:val="en"/>
        </w:rPr>
      </w:pPr>
      <w:r>
        <w:rPr>
          <w:color w:val="DD4A51"/>
          <w:kern w:val="36"/>
          <w:sz w:val="77"/>
          <w:szCs w:val="77"/>
          <w:lang w:val="en"/>
        </w:rPr>
        <w:lastRenderedPageBreak/>
        <w:t>Strategic framework – Education &amp; Training 2020</w:t>
      </w:r>
      <w:r>
        <w:rPr>
          <w:b/>
          <w:bCs/>
          <w:color w:val="49494A"/>
          <w:kern w:val="36"/>
          <w:sz w:val="48"/>
          <w:szCs w:val="48"/>
          <w:lang w:val="en"/>
        </w:rPr>
        <w:t xml:space="preserve"> </w:t>
      </w:r>
    </w:p>
    <w:p w:rsidR="00CF7719" w:rsidRDefault="00CF7719" w:rsidP="00CF7719">
      <w:pPr>
        <w:pStyle w:val="Nadpis5"/>
        <w:rPr>
          <w:color w:val="49494A"/>
          <w:lang w:val="en"/>
        </w:rPr>
      </w:pPr>
      <w:r>
        <w:rPr>
          <w:color w:val="49494A"/>
          <w:lang w:val="en"/>
        </w:rPr>
        <w:t>What is the EU's role in education &amp; training?</w:t>
      </w:r>
    </w:p>
    <w:p w:rsidR="00CF7719" w:rsidRDefault="00CF7719" w:rsidP="00CF7719">
      <w:pPr>
        <w:pStyle w:val="Normlnweb"/>
        <w:rPr>
          <w:color w:val="49494A"/>
          <w:sz w:val="15"/>
          <w:szCs w:val="15"/>
          <w:lang w:val="en"/>
        </w:rPr>
      </w:pPr>
      <w:r>
        <w:rPr>
          <w:color w:val="49494A"/>
          <w:sz w:val="15"/>
          <w:szCs w:val="15"/>
          <w:lang w:val="en"/>
        </w:rPr>
        <w:t xml:space="preserve">Each EU country is responsible for its own education and training systems, so EU policy is designed to support national action and help address </w:t>
      </w:r>
      <w:r>
        <w:rPr>
          <w:b/>
          <w:bCs/>
          <w:color w:val="49494A"/>
          <w:sz w:val="15"/>
          <w:szCs w:val="15"/>
          <w:lang w:val="en"/>
        </w:rPr>
        <w:t>common challenges</w:t>
      </w:r>
      <w:r>
        <w:rPr>
          <w:color w:val="49494A"/>
          <w:sz w:val="15"/>
          <w:szCs w:val="15"/>
          <w:lang w:val="en"/>
        </w:rPr>
        <w:t xml:space="preserve">, such as ageing societies, </w:t>
      </w:r>
      <w:hyperlink r:id="rId76" w:history="1">
        <w:r>
          <w:rPr>
            <w:rStyle w:val="Hypertextovodkaz"/>
            <w:sz w:val="15"/>
            <w:szCs w:val="15"/>
            <w:lang w:val="en"/>
          </w:rPr>
          <w:t>skills deficits in the workforce</w:t>
        </w:r>
      </w:hyperlink>
      <w:r>
        <w:rPr>
          <w:color w:val="49494A"/>
          <w:sz w:val="15"/>
          <w:szCs w:val="15"/>
          <w:lang w:val="en"/>
        </w:rPr>
        <w:t>, and global competition.</w:t>
      </w:r>
    </w:p>
    <w:p w:rsidR="00CF7719" w:rsidRDefault="00CF7719" w:rsidP="00CF7719">
      <w:pPr>
        <w:pStyle w:val="Normlnweb"/>
        <w:rPr>
          <w:color w:val="49494A"/>
          <w:sz w:val="15"/>
          <w:szCs w:val="15"/>
          <w:lang w:val="en"/>
        </w:rPr>
      </w:pPr>
      <w:r>
        <w:rPr>
          <w:color w:val="49494A"/>
          <w:sz w:val="15"/>
          <w:szCs w:val="15"/>
          <w:lang w:val="en"/>
        </w:rPr>
        <w:t xml:space="preserve">The EU offers a </w:t>
      </w:r>
      <w:hyperlink r:id="rId77" w:history="1">
        <w:r>
          <w:rPr>
            <w:rStyle w:val="Hypertextovodkaz"/>
            <w:sz w:val="15"/>
            <w:szCs w:val="15"/>
            <w:lang w:val="en"/>
          </w:rPr>
          <w:t>forum for exchange of best practices</w:t>
        </w:r>
      </w:hyperlink>
      <w:r>
        <w:rPr>
          <w:color w:val="49494A"/>
          <w:sz w:val="15"/>
          <w:szCs w:val="15"/>
          <w:lang w:val="en"/>
        </w:rPr>
        <w:t xml:space="preserve">, gathering and dissemination of information and statistics, as well as advice and support for policy reforms. Funding is also available for </w:t>
      </w:r>
      <w:hyperlink r:id="rId78" w:history="1">
        <w:r>
          <w:rPr>
            <w:rStyle w:val="Hypertextovodkaz"/>
            <w:sz w:val="15"/>
            <w:szCs w:val="15"/>
            <w:lang w:val="en"/>
          </w:rPr>
          <w:t>activities that promote learning and education</w:t>
        </w:r>
      </w:hyperlink>
      <w:r>
        <w:rPr>
          <w:color w:val="49494A"/>
          <w:sz w:val="15"/>
          <w:szCs w:val="15"/>
          <w:lang w:val="en"/>
        </w:rPr>
        <w:t xml:space="preserve"> at all levels and for all age groups.</w:t>
      </w:r>
    </w:p>
    <w:p w:rsidR="00CF7719" w:rsidRDefault="00CF7719" w:rsidP="00CF7719">
      <w:pPr>
        <w:pStyle w:val="Normlnweb"/>
        <w:rPr>
          <w:color w:val="49494A"/>
          <w:sz w:val="15"/>
          <w:szCs w:val="15"/>
          <w:lang w:val="en"/>
        </w:rPr>
      </w:pPr>
      <w:r>
        <w:rPr>
          <w:color w:val="49494A"/>
          <w:sz w:val="15"/>
          <w:szCs w:val="15"/>
          <w:lang w:val="en"/>
        </w:rPr>
        <w:t>Through the strategic framework for education and training, member states have identified four common objectives to address these challenges by 2020:</w:t>
      </w:r>
    </w:p>
    <w:p w:rsidR="00CF7719" w:rsidRDefault="00CF7719" w:rsidP="00CF7719">
      <w:pPr>
        <w:numPr>
          <w:ilvl w:val="0"/>
          <w:numId w:val="6"/>
        </w:numPr>
        <w:spacing w:before="100" w:beforeAutospacing="1" w:after="100" w:afterAutospacing="1" w:line="240" w:lineRule="auto"/>
        <w:rPr>
          <w:color w:val="49494A"/>
          <w:sz w:val="15"/>
          <w:szCs w:val="15"/>
          <w:lang w:val="en"/>
        </w:rPr>
      </w:pPr>
      <w:r>
        <w:rPr>
          <w:color w:val="49494A"/>
          <w:sz w:val="15"/>
          <w:szCs w:val="15"/>
          <w:lang w:val="en"/>
        </w:rPr>
        <w:t xml:space="preserve">Making lifelong learning and </w:t>
      </w:r>
      <w:hyperlink r:id="rId79" w:history="1">
        <w:r>
          <w:rPr>
            <w:rStyle w:val="Hypertextovodkaz"/>
            <w:sz w:val="15"/>
            <w:szCs w:val="15"/>
            <w:lang w:val="en"/>
          </w:rPr>
          <w:t>mobility</w:t>
        </w:r>
      </w:hyperlink>
      <w:r>
        <w:rPr>
          <w:color w:val="49494A"/>
          <w:sz w:val="15"/>
          <w:szCs w:val="15"/>
          <w:lang w:val="en"/>
        </w:rPr>
        <w:t xml:space="preserve"> a reality;</w:t>
      </w:r>
    </w:p>
    <w:p w:rsidR="00CF7719" w:rsidRDefault="00CF7719" w:rsidP="00CF7719">
      <w:pPr>
        <w:numPr>
          <w:ilvl w:val="0"/>
          <w:numId w:val="6"/>
        </w:numPr>
        <w:spacing w:before="100" w:beforeAutospacing="1" w:after="100" w:afterAutospacing="1" w:line="240" w:lineRule="auto"/>
        <w:rPr>
          <w:color w:val="49494A"/>
          <w:sz w:val="15"/>
          <w:szCs w:val="15"/>
          <w:lang w:val="en"/>
        </w:rPr>
      </w:pPr>
      <w:r>
        <w:rPr>
          <w:color w:val="49494A"/>
          <w:sz w:val="15"/>
          <w:szCs w:val="15"/>
          <w:lang w:val="en"/>
        </w:rPr>
        <w:t xml:space="preserve">Improving the </w:t>
      </w:r>
      <w:hyperlink r:id="rId80" w:tooltip="rethinking education" w:history="1">
        <w:r>
          <w:rPr>
            <w:rStyle w:val="Hypertextovodkaz"/>
            <w:sz w:val="15"/>
            <w:szCs w:val="15"/>
            <w:lang w:val="en"/>
          </w:rPr>
          <w:t xml:space="preserve">quality and efficiency </w:t>
        </w:r>
        <w:r>
          <w:rPr>
            <w:noProof/>
            <w:color w:val="009DC7"/>
            <w:sz w:val="15"/>
            <w:szCs w:val="15"/>
            <w:lang w:val="cs-CZ" w:eastAsia="cs-CZ"/>
          </w:rPr>
          <w:drawing>
            <wp:inline distT="0" distB="0" distL="0" distR="0">
              <wp:extent cx="104775" cy="104775"/>
              <wp:effectExtent l="0" t="0" r="9525" b="9525"/>
              <wp:docPr id="13" name="Picture 13" descr="http://ec.europa.eu/education/images/icon-ext-current.gif">
                <a:hlinkClick xmlns:a="http://schemas.openxmlformats.org/drawingml/2006/main" r:id="rId80" tooltip="&quot;rethinking educatio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ec.europa.eu/education/images/icon-ext-current.gif">
                        <a:hlinkClick r:id="rId80" tooltip="&quot;rethinking education&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hyperlink>
      <w:r>
        <w:rPr>
          <w:color w:val="49494A"/>
          <w:sz w:val="15"/>
          <w:szCs w:val="15"/>
          <w:lang w:val="en"/>
        </w:rPr>
        <w:t>of education and training;</w:t>
      </w:r>
    </w:p>
    <w:p w:rsidR="00CF7719" w:rsidRDefault="00CF7719" w:rsidP="00CF7719">
      <w:pPr>
        <w:numPr>
          <w:ilvl w:val="0"/>
          <w:numId w:val="6"/>
        </w:numPr>
        <w:spacing w:before="100" w:beforeAutospacing="1" w:after="100" w:afterAutospacing="1" w:line="240" w:lineRule="auto"/>
        <w:rPr>
          <w:color w:val="49494A"/>
          <w:sz w:val="15"/>
          <w:szCs w:val="15"/>
          <w:lang w:val="en"/>
        </w:rPr>
      </w:pPr>
      <w:r>
        <w:rPr>
          <w:color w:val="49494A"/>
          <w:sz w:val="15"/>
          <w:szCs w:val="15"/>
          <w:lang w:val="en"/>
        </w:rPr>
        <w:t xml:space="preserve">Promoting </w:t>
      </w:r>
      <w:hyperlink r:id="rId81" w:history="1">
        <w:r>
          <w:rPr>
            <w:rStyle w:val="Hypertextovodkaz"/>
            <w:sz w:val="15"/>
            <w:szCs w:val="15"/>
            <w:lang w:val="en"/>
          </w:rPr>
          <w:t>equity, social cohesion, and active citizenship</w:t>
        </w:r>
      </w:hyperlink>
      <w:r>
        <w:rPr>
          <w:color w:val="49494A"/>
          <w:sz w:val="15"/>
          <w:szCs w:val="15"/>
          <w:lang w:val="en"/>
        </w:rPr>
        <w:t>;</w:t>
      </w:r>
    </w:p>
    <w:p w:rsidR="00CF7719" w:rsidRDefault="00CF7719" w:rsidP="00CF7719">
      <w:pPr>
        <w:numPr>
          <w:ilvl w:val="0"/>
          <w:numId w:val="6"/>
        </w:numPr>
        <w:spacing w:before="100" w:beforeAutospacing="1" w:after="100" w:afterAutospacing="1" w:line="240" w:lineRule="auto"/>
        <w:rPr>
          <w:color w:val="49494A"/>
          <w:sz w:val="15"/>
          <w:szCs w:val="15"/>
          <w:lang w:val="en"/>
        </w:rPr>
      </w:pPr>
      <w:r>
        <w:rPr>
          <w:color w:val="49494A"/>
          <w:sz w:val="15"/>
          <w:szCs w:val="15"/>
          <w:lang w:val="en"/>
        </w:rPr>
        <w:t xml:space="preserve">Enhancing creativity and innovation, including </w:t>
      </w:r>
      <w:hyperlink r:id="rId82" w:history="1">
        <w:r>
          <w:rPr>
            <w:rStyle w:val="Hypertextovodkaz"/>
            <w:sz w:val="15"/>
            <w:szCs w:val="15"/>
            <w:lang w:val="en"/>
          </w:rPr>
          <w:t>entrepreneurship</w:t>
        </w:r>
      </w:hyperlink>
      <w:r>
        <w:rPr>
          <w:color w:val="49494A"/>
          <w:sz w:val="15"/>
          <w:szCs w:val="15"/>
          <w:lang w:val="en"/>
        </w:rPr>
        <w:t>, at all levels of education and training.</w:t>
      </w:r>
    </w:p>
    <w:p w:rsidR="00CF7719" w:rsidRDefault="00CF7719" w:rsidP="00CF7719">
      <w:pPr>
        <w:pStyle w:val="Nadpis5"/>
        <w:rPr>
          <w:color w:val="49494A"/>
          <w:lang w:val="en"/>
        </w:rPr>
      </w:pPr>
      <w:r>
        <w:rPr>
          <w:color w:val="49494A"/>
          <w:lang w:val="en"/>
        </w:rPr>
        <w:t>What has been done so far?</w:t>
      </w:r>
    </w:p>
    <w:p w:rsidR="00CF7719" w:rsidRDefault="00CF7719" w:rsidP="00CF7719">
      <w:pPr>
        <w:pStyle w:val="Normlnweb"/>
        <w:rPr>
          <w:color w:val="49494A"/>
          <w:sz w:val="15"/>
          <w:szCs w:val="15"/>
          <w:lang w:val="en"/>
        </w:rPr>
      </w:pPr>
      <w:r>
        <w:rPr>
          <w:color w:val="49494A"/>
          <w:sz w:val="15"/>
          <w:szCs w:val="15"/>
          <w:lang w:val="en"/>
        </w:rPr>
        <w:t>The following EU benchmarks for 2020 have been set for education:</w:t>
      </w:r>
    </w:p>
    <w:p w:rsidR="00CF7719" w:rsidRDefault="00CF7719" w:rsidP="00CF7719">
      <w:pPr>
        <w:numPr>
          <w:ilvl w:val="0"/>
          <w:numId w:val="7"/>
        </w:numPr>
        <w:spacing w:before="100" w:beforeAutospacing="1" w:after="100" w:afterAutospacing="1" w:line="240" w:lineRule="auto"/>
        <w:rPr>
          <w:color w:val="49494A"/>
          <w:sz w:val="15"/>
          <w:szCs w:val="15"/>
          <w:lang w:val="en"/>
        </w:rPr>
      </w:pPr>
      <w:r>
        <w:rPr>
          <w:color w:val="49494A"/>
          <w:sz w:val="15"/>
          <w:szCs w:val="15"/>
          <w:lang w:val="en"/>
        </w:rPr>
        <w:t xml:space="preserve">At least 95% of children (from 4 to compulsory school age) should participate in </w:t>
      </w:r>
      <w:hyperlink r:id="rId83" w:history="1">
        <w:r>
          <w:rPr>
            <w:rStyle w:val="Hypertextovodkaz"/>
            <w:sz w:val="15"/>
            <w:szCs w:val="15"/>
            <w:lang w:val="en"/>
          </w:rPr>
          <w:t>early childhood education</w:t>
        </w:r>
      </w:hyperlink>
      <w:r>
        <w:rPr>
          <w:color w:val="49494A"/>
          <w:sz w:val="15"/>
          <w:szCs w:val="15"/>
          <w:lang w:val="en"/>
        </w:rPr>
        <w:t>;</w:t>
      </w:r>
    </w:p>
    <w:p w:rsidR="00CF7719" w:rsidRDefault="00CF7719" w:rsidP="00CF7719">
      <w:pPr>
        <w:numPr>
          <w:ilvl w:val="0"/>
          <w:numId w:val="7"/>
        </w:numPr>
        <w:spacing w:before="100" w:beforeAutospacing="1" w:after="100" w:afterAutospacing="1" w:line="240" w:lineRule="auto"/>
        <w:rPr>
          <w:color w:val="49494A"/>
          <w:sz w:val="15"/>
          <w:szCs w:val="15"/>
          <w:lang w:val="en"/>
        </w:rPr>
      </w:pPr>
      <w:r>
        <w:rPr>
          <w:color w:val="49494A"/>
          <w:sz w:val="15"/>
          <w:szCs w:val="15"/>
          <w:lang w:val="en"/>
        </w:rPr>
        <w:t xml:space="preserve">fewer than 15% of 15-year-olds should be under-skilled in </w:t>
      </w:r>
      <w:hyperlink r:id="rId84" w:history="1">
        <w:r>
          <w:rPr>
            <w:rStyle w:val="Hypertextovodkaz"/>
            <w:sz w:val="15"/>
            <w:szCs w:val="15"/>
            <w:lang w:val="en"/>
          </w:rPr>
          <w:t>reading, mathematics and science</w:t>
        </w:r>
      </w:hyperlink>
      <w:r>
        <w:rPr>
          <w:color w:val="49494A"/>
          <w:sz w:val="15"/>
          <w:szCs w:val="15"/>
          <w:lang w:val="en"/>
        </w:rPr>
        <w:t>;</w:t>
      </w:r>
    </w:p>
    <w:p w:rsidR="00CF7719" w:rsidRDefault="00CF7719" w:rsidP="00CF7719">
      <w:pPr>
        <w:numPr>
          <w:ilvl w:val="0"/>
          <w:numId w:val="7"/>
        </w:numPr>
        <w:spacing w:before="100" w:beforeAutospacing="1" w:after="100" w:afterAutospacing="1" w:line="240" w:lineRule="auto"/>
        <w:rPr>
          <w:color w:val="49494A"/>
          <w:sz w:val="15"/>
          <w:szCs w:val="15"/>
          <w:lang w:val="en"/>
        </w:rPr>
      </w:pPr>
      <w:r>
        <w:rPr>
          <w:color w:val="49494A"/>
          <w:sz w:val="15"/>
          <w:szCs w:val="15"/>
          <w:lang w:val="en"/>
        </w:rPr>
        <w:t xml:space="preserve">fewer than 10% of young people should </w:t>
      </w:r>
      <w:hyperlink r:id="rId85" w:history="1">
        <w:r>
          <w:rPr>
            <w:rStyle w:val="Hypertextovodkaz"/>
            <w:sz w:val="15"/>
            <w:szCs w:val="15"/>
            <w:lang w:val="en"/>
          </w:rPr>
          <w:t>drop out of education and training</w:t>
        </w:r>
      </w:hyperlink>
      <w:r>
        <w:rPr>
          <w:color w:val="49494A"/>
          <w:sz w:val="15"/>
          <w:szCs w:val="15"/>
          <w:lang w:val="en"/>
        </w:rPr>
        <w:t>;</w:t>
      </w:r>
    </w:p>
    <w:p w:rsidR="00CF7719" w:rsidRDefault="00CF7719" w:rsidP="00CF7719">
      <w:pPr>
        <w:numPr>
          <w:ilvl w:val="0"/>
          <w:numId w:val="7"/>
        </w:numPr>
        <w:spacing w:before="100" w:beforeAutospacing="1" w:after="100" w:afterAutospacing="1" w:line="240" w:lineRule="auto"/>
        <w:rPr>
          <w:color w:val="49494A"/>
          <w:sz w:val="15"/>
          <w:szCs w:val="15"/>
          <w:lang w:val="en"/>
        </w:rPr>
      </w:pPr>
      <w:r>
        <w:rPr>
          <w:color w:val="49494A"/>
          <w:sz w:val="15"/>
          <w:szCs w:val="15"/>
          <w:lang w:val="en"/>
        </w:rPr>
        <w:t xml:space="preserve">at least 40% of people aged 30-34 should have </w:t>
      </w:r>
      <w:hyperlink r:id="rId86" w:history="1">
        <w:r>
          <w:rPr>
            <w:rStyle w:val="Hypertextovodkaz"/>
            <w:sz w:val="15"/>
            <w:szCs w:val="15"/>
            <w:lang w:val="en"/>
          </w:rPr>
          <w:t>completed some form of higher education</w:t>
        </w:r>
      </w:hyperlink>
      <w:r>
        <w:rPr>
          <w:color w:val="49494A"/>
          <w:sz w:val="15"/>
          <w:szCs w:val="15"/>
          <w:lang w:val="en"/>
        </w:rPr>
        <w:t>;</w:t>
      </w:r>
    </w:p>
    <w:p w:rsidR="00CF7719" w:rsidRDefault="00CF7719" w:rsidP="00CF7719">
      <w:pPr>
        <w:numPr>
          <w:ilvl w:val="0"/>
          <w:numId w:val="7"/>
        </w:numPr>
        <w:spacing w:before="100" w:beforeAutospacing="1" w:after="100" w:afterAutospacing="1" w:line="240" w:lineRule="auto"/>
        <w:rPr>
          <w:color w:val="49494A"/>
          <w:sz w:val="15"/>
          <w:szCs w:val="15"/>
          <w:lang w:val="en"/>
        </w:rPr>
      </w:pPr>
      <w:r>
        <w:rPr>
          <w:color w:val="49494A"/>
          <w:sz w:val="15"/>
          <w:szCs w:val="15"/>
          <w:lang w:val="en"/>
        </w:rPr>
        <w:t xml:space="preserve">at least 15% of adults should participate in </w:t>
      </w:r>
      <w:hyperlink r:id="rId87" w:history="1">
        <w:r>
          <w:rPr>
            <w:rStyle w:val="Hypertextovodkaz"/>
            <w:sz w:val="15"/>
            <w:szCs w:val="15"/>
            <w:lang w:val="en"/>
          </w:rPr>
          <w:t>lifelong learning</w:t>
        </w:r>
      </w:hyperlink>
      <w:r>
        <w:rPr>
          <w:color w:val="49494A"/>
          <w:sz w:val="15"/>
          <w:szCs w:val="15"/>
          <w:lang w:val="en"/>
        </w:rPr>
        <w:t>;</w:t>
      </w:r>
    </w:p>
    <w:p w:rsidR="00CF7719" w:rsidRDefault="00CF7719" w:rsidP="00CF7719">
      <w:pPr>
        <w:numPr>
          <w:ilvl w:val="0"/>
          <w:numId w:val="7"/>
        </w:numPr>
        <w:spacing w:before="100" w:beforeAutospacing="1" w:after="100" w:afterAutospacing="1" w:line="240" w:lineRule="auto"/>
        <w:rPr>
          <w:color w:val="49494A"/>
          <w:sz w:val="15"/>
          <w:szCs w:val="15"/>
          <w:lang w:val="en"/>
        </w:rPr>
      </w:pPr>
      <w:r>
        <w:rPr>
          <w:color w:val="49494A"/>
          <w:sz w:val="15"/>
          <w:szCs w:val="15"/>
          <w:lang w:val="en"/>
        </w:rPr>
        <w:t xml:space="preserve">at least 20% of higher education graduates and 6% of 18-34 year-olds with an initial vocational qualification should have </w:t>
      </w:r>
      <w:hyperlink r:id="rId88" w:history="1">
        <w:r>
          <w:rPr>
            <w:rStyle w:val="Hypertextovodkaz"/>
            <w:sz w:val="15"/>
            <w:szCs w:val="15"/>
            <w:lang w:val="en"/>
          </w:rPr>
          <w:t>spent some time studying or training abroad</w:t>
        </w:r>
      </w:hyperlink>
      <w:r>
        <w:rPr>
          <w:color w:val="49494A"/>
          <w:sz w:val="15"/>
          <w:szCs w:val="15"/>
          <w:lang w:val="en"/>
        </w:rPr>
        <w:t>;</w:t>
      </w:r>
    </w:p>
    <w:p w:rsidR="00CF7719" w:rsidRDefault="00CF7719" w:rsidP="00CF7719">
      <w:pPr>
        <w:numPr>
          <w:ilvl w:val="0"/>
          <w:numId w:val="7"/>
        </w:numPr>
        <w:spacing w:before="100" w:beforeAutospacing="1" w:after="100" w:afterAutospacing="1" w:line="240" w:lineRule="auto"/>
        <w:rPr>
          <w:color w:val="49494A"/>
          <w:sz w:val="15"/>
          <w:szCs w:val="15"/>
          <w:lang w:val="en"/>
        </w:rPr>
      </w:pPr>
      <w:r>
        <w:rPr>
          <w:color w:val="49494A"/>
          <w:sz w:val="15"/>
          <w:szCs w:val="15"/>
          <w:lang w:val="en"/>
        </w:rPr>
        <w:t>the share of employed graduates (20-34 year-olds having successfully completed upper secondary or tertiary education) having left education 1-3 years ago should be at least 82%.</w:t>
      </w:r>
    </w:p>
    <w:p w:rsidR="00CF7719" w:rsidRDefault="007904D8" w:rsidP="00CF7719">
      <w:pPr>
        <w:pStyle w:val="Normlnweb"/>
        <w:rPr>
          <w:color w:val="49494A"/>
          <w:sz w:val="15"/>
          <w:szCs w:val="15"/>
          <w:lang w:val="en"/>
        </w:rPr>
      </w:pPr>
      <w:hyperlink r:id="rId89" w:history="1">
        <w:r w:rsidR="00CF7719">
          <w:rPr>
            <w:rStyle w:val="Hypertextovodkaz"/>
            <w:sz w:val="15"/>
            <w:szCs w:val="15"/>
            <w:lang w:val="en"/>
          </w:rPr>
          <w:t>Progress on these benchmarks</w:t>
        </w:r>
      </w:hyperlink>
      <w:r w:rsidR="00CF7719">
        <w:rPr>
          <w:color w:val="49494A"/>
          <w:sz w:val="15"/>
          <w:szCs w:val="15"/>
          <w:lang w:val="en"/>
        </w:rPr>
        <w:t xml:space="preserve"> is assessed in each Member state through a yearly country analysis, with the EU also providing recommendations</w:t>
      </w:r>
    </w:p>
    <w:p w:rsidR="00CF7719" w:rsidRDefault="00CF7719">
      <w:pPr>
        <w:rPr>
          <w:sz w:val="24"/>
          <w:szCs w:val="24"/>
          <w:lang w:val="en"/>
        </w:rPr>
      </w:pPr>
      <w:r>
        <w:rPr>
          <w:sz w:val="24"/>
          <w:szCs w:val="24"/>
          <w:lang w:val="en"/>
        </w:rPr>
        <w:br w:type="page"/>
      </w:r>
    </w:p>
    <w:p w:rsidR="00100C0C" w:rsidRDefault="00100C0C" w:rsidP="00100C0C">
      <w:pPr>
        <w:jc w:val="center"/>
        <w:rPr>
          <w:b/>
          <w:sz w:val="32"/>
          <w:szCs w:val="32"/>
          <w:lang w:val="cs-CZ"/>
        </w:rPr>
      </w:pPr>
      <w:r>
        <w:rPr>
          <w:b/>
          <w:sz w:val="32"/>
          <w:szCs w:val="32"/>
          <w:lang w:val="cs-CZ"/>
        </w:rPr>
        <w:lastRenderedPageBreak/>
        <w:t>Definice vlastností kontextu EU</w:t>
      </w:r>
    </w:p>
    <w:p w:rsidR="00100C0C" w:rsidRDefault="00100C0C" w:rsidP="00100C0C">
      <w:pPr>
        <w:jc w:val="center"/>
        <w:rPr>
          <w:b/>
          <w:sz w:val="32"/>
          <w:szCs w:val="32"/>
          <w:lang w:val="cs-CZ"/>
        </w:rPr>
      </w:pPr>
      <w:r>
        <w:rPr>
          <w:noProof/>
          <w:sz w:val="32"/>
          <w:szCs w:val="32"/>
          <w:lang w:val="cs-CZ" w:eastAsia="cs-CZ"/>
        </w:rPr>
        <w:drawing>
          <wp:inline distT="0" distB="0" distL="0" distR="0" wp14:anchorId="3C23614E" wp14:editId="3458C527">
            <wp:extent cx="5731510" cy="4129208"/>
            <wp:effectExtent l="0" t="0" r="254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E438EB.tmp"/>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1510" cy="4129208"/>
                    </a:xfrm>
                    <a:prstGeom prst="rect">
                      <a:avLst/>
                    </a:prstGeom>
                  </pic:spPr>
                </pic:pic>
              </a:graphicData>
            </a:graphic>
          </wp:inline>
        </w:drawing>
      </w: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8F48AA" w:rsidRDefault="008F48AA" w:rsidP="008F48AA">
      <w:pPr>
        <w:jc w:val="center"/>
        <w:rPr>
          <w:b/>
          <w:sz w:val="32"/>
          <w:szCs w:val="32"/>
          <w:lang w:val="cs-CZ"/>
        </w:rPr>
      </w:pPr>
      <w:r>
        <w:rPr>
          <w:b/>
          <w:sz w:val="32"/>
          <w:szCs w:val="32"/>
          <w:lang w:val="cs-CZ"/>
        </w:rPr>
        <w:lastRenderedPageBreak/>
        <w:t>Zde je zásadní materiál o srovnání zemí v rámci EU</w:t>
      </w:r>
    </w:p>
    <w:p w:rsidR="00100C0C" w:rsidRDefault="00100C0C" w:rsidP="00100C0C">
      <w:pPr>
        <w:spacing w:beforeAutospacing="1"/>
        <w:ind w:left="-300"/>
        <w:outlineLvl w:val="1"/>
        <w:rPr>
          <w:b/>
          <w:bCs/>
          <w:color w:val="49494A"/>
          <w:kern w:val="36"/>
          <w:sz w:val="48"/>
          <w:szCs w:val="48"/>
          <w:lang w:val="en"/>
        </w:rPr>
      </w:pPr>
      <w:r>
        <w:rPr>
          <w:color w:val="DD4A51"/>
          <w:kern w:val="36"/>
          <w:sz w:val="77"/>
          <w:szCs w:val="77"/>
          <w:lang w:val="en"/>
        </w:rPr>
        <w:t>Education and Training Monitor</w:t>
      </w:r>
      <w:r>
        <w:rPr>
          <w:b/>
          <w:bCs/>
          <w:color w:val="49494A"/>
          <w:kern w:val="36"/>
          <w:sz w:val="48"/>
          <w:szCs w:val="48"/>
          <w:lang w:val="en"/>
        </w:rPr>
        <w:t xml:space="preserve"> </w:t>
      </w:r>
    </w:p>
    <w:p w:rsidR="00100C0C" w:rsidRDefault="00100C0C" w:rsidP="00100C0C">
      <w:pPr>
        <w:pStyle w:val="Nadpis5"/>
        <w:rPr>
          <w:color w:val="49494A"/>
          <w:lang w:val="en"/>
        </w:rPr>
      </w:pPr>
      <w:r>
        <w:rPr>
          <w:color w:val="49494A"/>
          <w:lang w:val="en"/>
        </w:rPr>
        <w:t>What is it?</w:t>
      </w:r>
    </w:p>
    <w:p w:rsidR="00100C0C" w:rsidRDefault="00100C0C" w:rsidP="00100C0C">
      <w:pPr>
        <w:pStyle w:val="Normlnweb"/>
        <w:rPr>
          <w:color w:val="49494A"/>
          <w:sz w:val="15"/>
          <w:szCs w:val="15"/>
          <w:lang w:val="en"/>
        </w:rPr>
      </w:pPr>
      <w:r>
        <w:rPr>
          <w:color w:val="49494A"/>
          <w:sz w:val="15"/>
          <w:szCs w:val="15"/>
          <w:lang w:val="en"/>
        </w:rPr>
        <w:t>The Education and Training Monitor is an instrument to foster and encourage evidence-based policy making. It is an annual report that illustrates, in a succinct document, the evolution of education and training systems across Europe.</w:t>
      </w:r>
    </w:p>
    <w:p w:rsidR="00100C0C" w:rsidRDefault="00100C0C" w:rsidP="00100C0C">
      <w:pPr>
        <w:pStyle w:val="Normlnweb"/>
        <w:rPr>
          <w:color w:val="49494A"/>
          <w:sz w:val="15"/>
          <w:szCs w:val="15"/>
          <w:lang w:val="en"/>
        </w:rPr>
      </w:pPr>
      <w:r>
        <w:rPr>
          <w:color w:val="49494A"/>
          <w:sz w:val="15"/>
          <w:szCs w:val="15"/>
          <w:lang w:val="en"/>
        </w:rPr>
        <w:t>It takes into account a variety of benchmarks and indicators, as well as recent studies and policy developments.</w:t>
      </w:r>
    </w:p>
    <w:p w:rsidR="00100C0C" w:rsidRDefault="00100C0C" w:rsidP="00100C0C">
      <w:pPr>
        <w:pStyle w:val="Nadpis5"/>
        <w:rPr>
          <w:color w:val="49494A"/>
          <w:lang w:val="en"/>
        </w:rPr>
      </w:pPr>
      <w:r>
        <w:rPr>
          <w:color w:val="49494A"/>
          <w:lang w:val="en"/>
        </w:rPr>
        <w:t>Why is it needed?</w:t>
      </w:r>
    </w:p>
    <w:p w:rsidR="00100C0C" w:rsidRDefault="00100C0C" w:rsidP="00100C0C">
      <w:pPr>
        <w:pStyle w:val="Normlnweb"/>
        <w:rPr>
          <w:color w:val="49494A"/>
          <w:sz w:val="15"/>
          <w:szCs w:val="15"/>
          <w:lang w:val="en"/>
        </w:rPr>
      </w:pPr>
      <w:r>
        <w:rPr>
          <w:color w:val="49494A"/>
          <w:sz w:val="15"/>
          <w:szCs w:val="15"/>
          <w:lang w:val="en"/>
        </w:rPr>
        <w:t xml:space="preserve">In 2012 the strategic framework for European cooperation in education and training, </w:t>
      </w:r>
      <w:hyperlink r:id="rId91" w:history="1">
        <w:r>
          <w:rPr>
            <w:rStyle w:val="Hypertextovodkaz"/>
            <w:sz w:val="15"/>
            <w:szCs w:val="15"/>
            <w:lang w:val="en"/>
          </w:rPr>
          <w:t>Education and Training 2020</w:t>
        </w:r>
      </w:hyperlink>
      <w:r>
        <w:rPr>
          <w:color w:val="49494A"/>
          <w:sz w:val="15"/>
          <w:szCs w:val="15"/>
          <w:lang w:val="en"/>
        </w:rPr>
        <w:t xml:space="preserve"> (ET 2020) was redesigned to bring it in line with the </w:t>
      </w:r>
      <w:hyperlink r:id="rId92" w:tgtFrame="_blank" w:history="1">
        <w:r>
          <w:rPr>
            <w:rStyle w:val="Hypertextovodkaz"/>
            <w:sz w:val="15"/>
            <w:szCs w:val="15"/>
            <w:lang w:val="en"/>
          </w:rPr>
          <w:t xml:space="preserve">EU strategy for growth and jobs </w:t>
        </w:r>
        <w:r>
          <w:rPr>
            <w:noProof/>
            <w:color w:val="009DC7"/>
            <w:sz w:val="15"/>
            <w:szCs w:val="15"/>
            <w:lang w:val="cs-CZ" w:eastAsia="cs-CZ"/>
          </w:rPr>
          <w:drawing>
            <wp:inline distT="0" distB="0" distL="0" distR="0">
              <wp:extent cx="104775" cy="104775"/>
              <wp:effectExtent l="0" t="0" r="9525" b="9525"/>
              <wp:docPr id="41" name="Picture 41" descr="http://ec.europa.eu/education/images/icon-ext-current.gif">
                <a:hlinkClick xmlns:a="http://schemas.openxmlformats.org/drawingml/2006/main" r:id="rId9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ec.europa.eu/education/images/icon-ext-current.gif">
                        <a:hlinkClick r:id="rId92" tgtFrame="_blank"/>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hyperlink>
      <w:r>
        <w:rPr>
          <w:color w:val="49494A"/>
          <w:sz w:val="15"/>
          <w:szCs w:val="15"/>
          <w:lang w:val="en"/>
        </w:rPr>
        <w:t>.</w:t>
      </w:r>
    </w:p>
    <w:p w:rsidR="00100C0C" w:rsidRDefault="00100C0C" w:rsidP="00100C0C">
      <w:pPr>
        <w:pStyle w:val="Normlnweb"/>
        <w:rPr>
          <w:color w:val="49494A"/>
          <w:sz w:val="15"/>
          <w:szCs w:val="15"/>
          <w:lang w:val="en"/>
        </w:rPr>
      </w:pPr>
      <w:r>
        <w:rPr>
          <w:color w:val="49494A"/>
          <w:sz w:val="15"/>
          <w:szCs w:val="15"/>
          <w:lang w:val="en"/>
        </w:rPr>
        <w:t>The Monitor contributes to the analytical basis for the European Semester and provides input to national debates.</w:t>
      </w:r>
    </w:p>
    <w:p w:rsidR="00100C0C" w:rsidRDefault="00100C0C" w:rsidP="00100C0C">
      <w:pPr>
        <w:pStyle w:val="Nadpis5"/>
        <w:rPr>
          <w:color w:val="49494A"/>
          <w:lang w:val="en"/>
        </w:rPr>
      </w:pPr>
      <w:r>
        <w:rPr>
          <w:color w:val="49494A"/>
          <w:lang w:val="en"/>
        </w:rPr>
        <w:t>What has been done so far?</w:t>
      </w:r>
    </w:p>
    <w:p w:rsidR="00100C0C" w:rsidRDefault="00100C0C" w:rsidP="00100C0C">
      <w:pPr>
        <w:pStyle w:val="Normlnweb"/>
        <w:rPr>
          <w:color w:val="49494A"/>
          <w:sz w:val="15"/>
          <w:szCs w:val="15"/>
          <w:lang w:val="en"/>
        </w:rPr>
      </w:pPr>
      <w:r>
        <w:rPr>
          <w:color w:val="49494A"/>
          <w:sz w:val="15"/>
          <w:szCs w:val="15"/>
          <w:lang w:val="en"/>
        </w:rPr>
        <w:t xml:space="preserve">To date, two editions of the Monitor have been published. The </w:t>
      </w:r>
      <w:hyperlink r:id="rId93" w:tgtFrame="_blank" w:history="1">
        <w:r>
          <w:rPr>
            <w:rStyle w:val="Hypertextovodkaz"/>
            <w:sz w:val="15"/>
            <w:szCs w:val="15"/>
            <w:lang w:val="en"/>
          </w:rPr>
          <w:t>latest report</w:t>
        </w:r>
        <w:r>
          <w:rPr>
            <w:noProof/>
            <w:color w:val="009DC7"/>
            <w:sz w:val="15"/>
            <w:szCs w:val="15"/>
            <w:lang w:val="cs-CZ" w:eastAsia="cs-CZ"/>
          </w:rPr>
          <w:drawing>
            <wp:inline distT="0" distB="0" distL="0" distR="0">
              <wp:extent cx="152400" cy="152400"/>
              <wp:effectExtent l="0" t="0" r="0" b="0"/>
              <wp:docPr id="40" name="Picture 40" descr="pdf">
                <a:hlinkClick xmlns:a="http://schemas.openxmlformats.org/drawingml/2006/main" r:id="rId9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df">
                        <a:hlinkClick r:id="rId93" tgtFrame="_blank"/>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Style w:val="Hypertextovodkaz"/>
            <w:sz w:val="15"/>
            <w:szCs w:val="15"/>
            <w:lang w:val="en"/>
          </w:rPr>
          <w:t>(1.19 Mb)</w:t>
        </w:r>
      </w:hyperlink>
      <w:r>
        <w:rPr>
          <w:color w:val="49494A"/>
          <w:sz w:val="15"/>
          <w:szCs w:val="15"/>
          <w:lang w:val="en"/>
        </w:rPr>
        <w:t xml:space="preserve"> </w:t>
      </w:r>
      <w:hyperlink r:id="rId95" w:tooltip="Choose translations of the previous link" w:history="1">
        <w:r>
          <w:rPr>
            <w:noProof/>
            <w:color w:val="009DC7"/>
            <w:sz w:val="15"/>
            <w:szCs w:val="15"/>
            <w:lang w:val="cs-CZ" w:eastAsia="cs-CZ"/>
          </w:rPr>
          <w:drawing>
            <wp:inline distT="0" distB="0" distL="0" distR="0">
              <wp:extent cx="152400" cy="123825"/>
              <wp:effectExtent l="0" t="0" r="0" b="9525"/>
              <wp:docPr id="39" name="Picture 39" descr="Choose translations of the previous link">
                <a:hlinkClick xmlns:a="http://schemas.openxmlformats.org/drawingml/2006/main" r:id="rId95" tooltip="&quot;Choose translations of the previous li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hoose translations of the previous link">
                        <a:hlinkClick r:id="rId95" tooltip="&quot;Choose translations of the previous link&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Pr>
            <w:rStyle w:val="s"/>
            <w:color w:val="009DC7"/>
            <w:sz w:val="15"/>
            <w:szCs w:val="15"/>
            <w:lang w:val="en"/>
          </w:rPr>
          <w:t> </w:t>
        </w:r>
      </w:hyperlink>
      <w:r>
        <w:rPr>
          <w:color w:val="49494A"/>
          <w:sz w:val="15"/>
          <w:szCs w:val="15"/>
          <w:lang w:val="en"/>
        </w:rPr>
        <w:t xml:space="preserve"> , published in October 2013, dealt with:</w:t>
      </w:r>
    </w:p>
    <w:p w:rsidR="00100C0C" w:rsidRDefault="007904D8" w:rsidP="00100C0C">
      <w:pPr>
        <w:numPr>
          <w:ilvl w:val="0"/>
          <w:numId w:val="8"/>
        </w:numPr>
        <w:spacing w:before="100" w:beforeAutospacing="1" w:after="100" w:afterAutospacing="1" w:line="240" w:lineRule="auto"/>
        <w:rPr>
          <w:color w:val="49494A"/>
          <w:sz w:val="15"/>
          <w:szCs w:val="15"/>
          <w:lang w:val="en"/>
        </w:rPr>
      </w:pPr>
      <w:hyperlink r:id="rId97" w:tgtFrame="_blank" w:history="1">
        <w:r w:rsidR="00100C0C">
          <w:rPr>
            <w:color w:val="009DC7"/>
            <w:sz w:val="15"/>
            <w:szCs w:val="15"/>
            <w:lang w:val="en"/>
          </w:rPr>
          <w:t>Investing in skills and qualifications</w:t>
        </w:r>
        <w:r w:rsidR="00100C0C">
          <w:rPr>
            <w:noProof/>
            <w:color w:val="009DC7"/>
            <w:sz w:val="15"/>
            <w:szCs w:val="15"/>
            <w:lang w:val="cs-CZ" w:eastAsia="cs-CZ"/>
          </w:rPr>
          <w:drawing>
            <wp:inline distT="0" distB="0" distL="0" distR="0">
              <wp:extent cx="152400" cy="152400"/>
              <wp:effectExtent l="0" t="0" r="0" b="0"/>
              <wp:docPr id="38" name="Picture 38" descr="pdf">
                <a:hlinkClick xmlns:a="http://schemas.openxmlformats.org/drawingml/2006/main" r:id="rId9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df">
                        <a:hlinkClick r:id="rId97" tgtFrame="_blank"/>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00C0C">
          <w:rPr>
            <w:color w:val="009DC7"/>
            <w:sz w:val="15"/>
            <w:szCs w:val="15"/>
            <w:lang w:val="en"/>
          </w:rPr>
          <w:t>(344 kB)</w:t>
        </w:r>
      </w:hyperlink>
      <w:r w:rsidR="00100C0C">
        <w:rPr>
          <w:color w:val="49494A"/>
          <w:sz w:val="15"/>
          <w:szCs w:val="15"/>
          <w:lang w:val="en"/>
        </w:rPr>
        <w:t xml:space="preserve"> </w:t>
      </w:r>
      <w:hyperlink r:id="rId98" w:tooltip="Choose translations of the previous link" w:history="1">
        <w:r w:rsidR="00100C0C">
          <w:rPr>
            <w:noProof/>
            <w:color w:val="009DC7"/>
            <w:sz w:val="15"/>
            <w:szCs w:val="15"/>
            <w:lang w:val="cs-CZ" w:eastAsia="cs-CZ"/>
          </w:rPr>
          <w:drawing>
            <wp:inline distT="0" distB="0" distL="0" distR="0">
              <wp:extent cx="152400" cy="123825"/>
              <wp:effectExtent l="0" t="0" r="0" b="9525"/>
              <wp:docPr id="37" name="Picture 37" descr="Choose translations of the previous link">
                <a:hlinkClick xmlns:a="http://schemas.openxmlformats.org/drawingml/2006/main" r:id="rId95" tooltip="&quot;Choose translations of the previous li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hoose translations of the previous link">
                        <a:hlinkClick r:id="rId95" tooltip="&quot;Choose translations of the previous link&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sidR="00100C0C">
          <w:rPr>
            <w:rStyle w:val="s"/>
            <w:color w:val="009DC7"/>
            <w:sz w:val="15"/>
            <w:szCs w:val="15"/>
            <w:lang w:val="en"/>
          </w:rPr>
          <w:t> </w:t>
        </w:r>
      </w:hyperlink>
      <w:r w:rsidR="00100C0C">
        <w:rPr>
          <w:color w:val="49494A"/>
          <w:sz w:val="15"/>
          <w:szCs w:val="15"/>
          <w:lang w:val="en"/>
        </w:rPr>
        <w:t xml:space="preserve"> </w:t>
      </w:r>
    </w:p>
    <w:p w:rsidR="00100C0C" w:rsidRDefault="007904D8" w:rsidP="00100C0C">
      <w:pPr>
        <w:numPr>
          <w:ilvl w:val="0"/>
          <w:numId w:val="8"/>
        </w:numPr>
        <w:spacing w:before="100" w:beforeAutospacing="1" w:after="100" w:afterAutospacing="1" w:line="240" w:lineRule="auto"/>
        <w:rPr>
          <w:color w:val="49494A"/>
          <w:sz w:val="15"/>
          <w:szCs w:val="15"/>
          <w:lang w:val="en"/>
        </w:rPr>
      </w:pPr>
      <w:hyperlink r:id="rId99" w:tgtFrame="_blank" w:history="1">
        <w:r w:rsidR="00100C0C">
          <w:rPr>
            <w:color w:val="009DC7"/>
            <w:sz w:val="15"/>
            <w:szCs w:val="15"/>
            <w:lang w:val="en"/>
          </w:rPr>
          <w:t>Tackling early school leaving and increasing the quality of education</w:t>
        </w:r>
        <w:r w:rsidR="00100C0C">
          <w:rPr>
            <w:noProof/>
            <w:color w:val="009DC7"/>
            <w:sz w:val="15"/>
            <w:szCs w:val="15"/>
            <w:lang w:val="cs-CZ" w:eastAsia="cs-CZ"/>
          </w:rPr>
          <w:drawing>
            <wp:inline distT="0" distB="0" distL="0" distR="0">
              <wp:extent cx="152400" cy="152400"/>
              <wp:effectExtent l="0" t="0" r="0" b="0"/>
              <wp:docPr id="36" name="Picture 36" descr="pdf">
                <a:hlinkClick xmlns:a="http://schemas.openxmlformats.org/drawingml/2006/main" r:id="rId9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df">
                        <a:hlinkClick r:id="rId99" tgtFrame="_blank"/>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00C0C">
          <w:rPr>
            <w:color w:val="009DC7"/>
            <w:sz w:val="15"/>
            <w:szCs w:val="15"/>
            <w:lang w:val="en"/>
          </w:rPr>
          <w:t>(372 kB)</w:t>
        </w:r>
      </w:hyperlink>
      <w:r w:rsidR="00100C0C">
        <w:rPr>
          <w:color w:val="49494A"/>
          <w:sz w:val="15"/>
          <w:szCs w:val="15"/>
          <w:lang w:val="en"/>
        </w:rPr>
        <w:t xml:space="preserve"> </w:t>
      </w:r>
      <w:hyperlink r:id="rId100" w:tooltip="Choose translations of the previous link" w:history="1">
        <w:r w:rsidR="00100C0C">
          <w:rPr>
            <w:noProof/>
            <w:color w:val="009DC7"/>
            <w:sz w:val="15"/>
            <w:szCs w:val="15"/>
            <w:lang w:val="cs-CZ" w:eastAsia="cs-CZ"/>
          </w:rPr>
          <w:drawing>
            <wp:inline distT="0" distB="0" distL="0" distR="0">
              <wp:extent cx="152400" cy="123825"/>
              <wp:effectExtent l="0" t="0" r="0" b="9525"/>
              <wp:docPr id="35" name="Picture 35" descr="Choose translations of the previous link">
                <a:hlinkClick xmlns:a="http://schemas.openxmlformats.org/drawingml/2006/main" r:id="rId95" tooltip="&quot;Choose translations of the previous li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hoose translations of the previous link">
                        <a:hlinkClick r:id="rId95" tooltip="&quot;Choose translations of the previous link&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sidR="00100C0C">
          <w:rPr>
            <w:rStyle w:val="s"/>
            <w:color w:val="009DC7"/>
            <w:sz w:val="15"/>
            <w:szCs w:val="15"/>
            <w:lang w:val="en"/>
          </w:rPr>
          <w:t> </w:t>
        </w:r>
      </w:hyperlink>
      <w:r w:rsidR="00100C0C">
        <w:rPr>
          <w:color w:val="49494A"/>
          <w:sz w:val="15"/>
          <w:szCs w:val="15"/>
          <w:lang w:val="en"/>
        </w:rPr>
        <w:t xml:space="preserve"> </w:t>
      </w:r>
    </w:p>
    <w:p w:rsidR="00100C0C" w:rsidRDefault="007904D8" w:rsidP="00100C0C">
      <w:pPr>
        <w:numPr>
          <w:ilvl w:val="0"/>
          <w:numId w:val="8"/>
        </w:numPr>
        <w:spacing w:before="100" w:beforeAutospacing="1" w:after="100" w:afterAutospacing="1" w:line="240" w:lineRule="auto"/>
        <w:rPr>
          <w:color w:val="49494A"/>
          <w:sz w:val="15"/>
          <w:szCs w:val="15"/>
          <w:lang w:val="en"/>
        </w:rPr>
      </w:pPr>
      <w:hyperlink r:id="rId101" w:tgtFrame="_blank" w:history="1">
        <w:proofErr w:type="spellStart"/>
        <w:r w:rsidR="00100C0C">
          <w:rPr>
            <w:color w:val="009DC7"/>
            <w:sz w:val="15"/>
            <w:szCs w:val="15"/>
            <w:lang w:val="en"/>
          </w:rPr>
          <w:t>Emphasising</w:t>
        </w:r>
        <w:proofErr w:type="spellEnd"/>
        <w:r w:rsidR="00100C0C">
          <w:rPr>
            <w:color w:val="009DC7"/>
            <w:sz w:val="15"/>
            <w:szCs w:val="15"/>
            <w:lang w:val="en"/>
          </w:rPr>
          <w:t xml:space="preserve"> effectiveness and quality in the </w:t>
        </w:r>
        <w:proofErr w:type="spellStart"/>
        <w:r w:rsidR="00100C0C">
          <w:rPr>
            <w:color w:val="009DC7"/>
            <w:sz w:val="15"/>
            <w:szCs w:val="15"/>
            <w:lang w:val="en"/>
          </w:rPr>
          <w:t>modernisation</w:t>
        </w:r>
        <w:proofErr w:type="spellEnd"/>
        <w:r w:rsidR="00100C0C">
          <w:rPr>
            <w:color w:val="009DC7"/>
            <w:sz w:val="15"/>
            <w:szCs w:val="15"/>
            <w:lang w:val="en"/>
          </w:rPr>
          <w:t xml:space="preserve"> of higher education</w:t>
        </w:r>
        <w:r w:rsidR="00100C0C">
          <w:rPr>
            <w:noProof/>
            <w:color w:val="009DC7"/>
            <w:sz w:val="15"/>
            <w:szCs w:val="15"/>
            <w:lang w:val="cs-CZ" w:eastAsia="cs-CZ"/>
          </w:rPr>
          <w:drawing>
            <wp:inline distT="0" distB="0" distL="0" distR="0">
              <wp:extent cx="152400" cy="152400"/>
              <wp:effectExtent l="0" t="0" r="0" b="0"/>
              <wp:docPr id="34" name="Picture 34" descr="pdf">
                <a:hlinkClick xmlns:a="http://schemas.openxmlformats.org/drawingml/2006/main" r:id="rId10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df">
                        <a:hlinkClick r:id="rId101" tgtFrame="_blank"/>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00C0C">
          <w:rPr>
            <w:color w:val="009DC7"/>
            <w:sz w:val="15"/>
            <w:szCs w:val="15"/>
            <w:lang w:val="en"/>
          </w:rPr>
          <w:t>(379 kB)</w:t>
        </w:r>
      </w:hyperlink>
      <w:r w:rsidR="00100C0C">
        <w:rPr>
          <w:color w:val="49494A"/>
          <w:sz w:val="15"/>
          <w:szCs w:val="15"/>
          <w:lang w:val="en"/>
        </w:rPr>
        <w:t xml:space="preserve"> </w:t>
      </w:r>
      <w:hyperlink r:id="rId102" w:tooltip="Choose translations of the previous link" w:history="1">
        <w:r w:rsidR="00100C0C">
          <w:rPr>
            <w:noProof/>
            <w:color w:val="009DC7"/>
            <w:sz w:val="15"/>
            <w:szCs w:val="15"/>
            <w:lang w:val="cs-CZ" w:eastAsia="cs-CZ"/>
          </w:rPr>
          <w:drawing>
            <wp:inline distT="0" distB="0" distL="0" distR="0">
              <wp:extent cx="152400" cy="123825"/>
              <wp:effectExtent l="0" t="0" r="0" b="9525"/>
              <wp:docPr id="33" name="Picture 33" descr="Choose translations of the previous link">
                <a:hlinkClick xmlns:a="http://schemas.openxmlformats.org/drawingml/2006/main" r:id="rId102" tooltip="&quot;Choose translations of the previous li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hoose translations of the previous link">
                        <a:hlinkClick r:id="rId102" tooltip="&quot;Choose translations of the previous link&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sidR="00100C0C">
          <w:rPr>
            <w:rStyle w:val="s"/>
            <w:color w:val="009DC7"/>
            <w:sz w:val="15"/>
            <w:szCs w:val="15"/>
            <w:lang w:val="en"/>
          </w:rPr>
          <w:t> </w:t>
        </w:r>
      </w:hyperlink>
      <w:r w:rsidR="00100C0C">
        <w:rPr>
          <w:color w:val="49494A"/>
          <w:sz w:val="15"/>
          <w:szCs w:val="15"/>
          <w:lang w:val="en"/>
        </w:rPr>
        <w:t xml:space="preserve"> </w:t>
      </w:r>
    </w:p>
    <w:p w:rsidR="00100C0C" w:rsidRDefault="007904D8" w:rsidP="00100C0C">
      <w:pPr>
        <w:numPr>
          <w:ilvl w:val="0"/>
          <w:numId w:val="8"/>
        </w:numPr>
        <w:spacing w:before="100" w:beforeAutospacing="1" w:after="100" w:afterAutospacing="1" w:line="240" w:lineRule="auto"/>
        <w:rPr>
          <w:color w:val="49494A"/>
          <w:sz w:val="15"/>
          <w:szCs w:val="15"/>
          <w:lang w:val="en"/>
        </w:rPr>
      </w:pPr>
      <w:hyperlink r:id="rId103" w:tgtFrame="_blank" w:history="1">
        <w:r w:rsidR="00100C0C">
          <w:rPr>
            <w:color w:val="009DC7"/>
            <w:sz w:val="15"/>
            <w:szCs w:val="15"/>
            <w:lang w:val="en"/>
          </w:rPr>
          <w:t>Facilitating the transition from education to work through vocational education and training</w:t>
        </w:r>
        <w:r w:rsidR="00100C0C">
          <w:rPr>
            <w:noProof/>
            <w:color w:val="009DC7"/>
            <w:sz w:val="15"/>
            <w:szCs w:val="15"/>
            <w:lang w:val="cs-CZ" w:eastAsia="cs-CZ"/>
          </w:rPr>
          <w:drawing>
            <wp:inline distT="0" distB="0" distL="0" distR="0">
              <wp:extent cx="152400" cy="152400"/>
              <wp:effectExtent l="0" t="0" r="0" b="0"/>
              <wp:docPr id="32" name="Picture 32" descr="pdf">
                <a:hlinkClick xmlns:a="http://schemas.openxmlformats.org/drawingml/2006/main" r:id="rId10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df">
                        <a:hlinkClick r:id="rId103" tgtFrame="_blank"/>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00C0C">
          <w:rPr>
            <w:color w:val="009DC7"/>
            <w:sz w:val="15"/>
            <w:szCs w:val="15"/>
            <w:lang w:val="en"/>
          </w:rPr>
          <w:t>(292 kB)</w:t>
        </w:r>
      </w:hyperlink>
      <w:r w:rsidR="00100C0C">
        <w:rPr>
          <w:color w:val="49494A"/>
          <w:sz w:val="15"/>
          <w:szCs w:val="15"/>
          <w:lang w:val="en"/>
        </w:rPr>
        <w:t xml:space="preserve"> </w:t>
      </w:r>
      <w:hyperlink r:id="rId104" w:tooltip="Choose translations of the previous link" w:history="1">
        <w:r w:rsidR="00100C0C">
          <w:rPr>
            <w:noProof/>
            <w:color w:val="009DC7"/>
            <w:sz w:val="15"/>
            <w:szCs w:val="15"/>
            <w:lang w:val="cs-CZ" w:eastAsia="cs-CZ"/>
          </w:rPr>
          <w:drawing>
            <wp:inline distT="0" distB="0" distL="0" distR="0">
              <wp:extent cx="152400" cy="123825"/>
              <wp:effectExtent l="0" t="0" r="0" b="9525"/>
              <wp:docPr id="31" name="Picture 31" descr="Choose translations of the previous link">
                <a:hlinkClick xmlns:a="http://schemas.openxmlformats.org/drawingml/2006/main" r:id="rId102" tooltip="&quot;Choose translations of the previous li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hoose translations of the previous link">
                        <a:hlinkClick r:id="rId102" tooltip="&quot;Choose translations of the previous link&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sidR="00100C0C">
          <w:rPr>
            <w:rStyle w:val="s"/>
            <w:color w:val="009DC7"/>
            <w:sz w:val="15"/>
            <w:szCs w:val="15"/>
            <w:lang w:val="en"/>
          </w:rPr>
          <w:t> </w:t>
        </w:r>
      </w:hyperlink>
      <w:r w:rsidR="00100C0C">
        <w:rPr>
          <w:color w:val="49494A"/>
          <w:sz w:val="15"/>
          <w:szCs w:val="15"/>
          <w:lang w:val="en"/>
        </w:rPr>
        <w:t xml:space="preserve"> </w:t>
      </w:r>
    </w:p>
    <w:p w:rsidR="00100C0C" w:rsidRDefault="007904D8" w:rsidP="00100C0C">
      <w:pPr>
        <w:numPr>
          <w:ilvl w:val="0"/>
          <w:numId w:val="8"/>
        </w:numPr>
        <w:spacing w:before="100" w:beforeAutospacing="1" w:after="100" w:afterAutospacing="1" w:line="240" w:lineRule="auto"/>
        <w:rPr>
          <w:color w:val="49494A"/>
          <w:sz w:val="15"/>
          <w:szCs w:val="15"/>
          <w:lang w:val="en"/>
        </w:rPr>
      </w:pPr>
      <w:hyperlink r:id="rId105" w:tgtFrame="_blank" w:history="1">
        <w:r w:rsidR="00100C0C">
          <w:rPr>
            <w:color w:val="009DC7"/>
            <w:sz w:val="15"/>
            <w:szCs w:val="15"/>
            <w:lang w:val="en"/>
          </w:rPr>
          <w:t>Upgrading skills through lifelong learning</w:t>
        </w:r>
        <w:r w:rsidR="00100C0C">
          <w:rPr>
            <w:noProof/>
            <w:color w:val="009DC7"/>
            <w:sz w:val="15"/>
            <w:szCs w:val="15"/>
            <w:lang w:val="cs-CZ" w:eastAsia="cs-CZ"/>
          </w:rPr>
          <w:drawing>
            <wp:inline distT="0" distB="0" distL="0" distR="0">
              <wp:extent cx="152400" cy="152400"/>
              <wp:effectExtent l="0" t="0" r="0" b="0"/>
              <wp:docPr id="30" name="Picture 30" descr="pdf">
                <a:hlinkClick xmlns:a="http://schemas.openxmlformats.org/drawingml/2006/main" r:id="rId10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df">
                        <a:hlinkClick r:id="rId105" tgtFrame="_blank"/>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00C0C">
          <w:rPr>
            <w:color w:val="009DC7"/>
            <w:sz w:val="15"/>
            <w:szCs w:val="15"/>
            <w:lang w:val="en"/>
          </w:rPr>
          <w:t>(306 kB)</w:t>
        </w:r>
      </w:hyperlink>
      <w:r w:rsidR="00100C0C">
        <w:rPr>
          <w:color w:val="49494A"/>
          <w:sz w:val="15"/>
          <w:szCs w:val="15"/>
          <w:lang w:val="en"/>
        </w:rPr>
        <w:t xml:space="preserve"> </w:t>
      </w:r>
      <w:hyperlink r:id="rId106" w:tooltip="Choose translations of the previous link" w:history="1">
        <w:r w:rsidR="00100C0C">
          <w:rPr>
            <w:noProof/>
            <w:color w:val="009DC7"/>
            <w:sz w:val="15"/>
            <w:szCs w:val="15"/>
            <w:lang w:val="cs-CZ" w:eastAsia="cs-CZ"/>
          </w:rPr>
          <w:drawing>
            <wp:inline distT="0" distB="0" distL="0" distR="0">
              <wp:extent cx="152400" cy="123825"/>
              <wp:effectExtent l="0" t="0" r="0" b="9525"/>
              <wp:docPr id="29" name="Picture 29" descr="Choose translations of the previous link">
                <a:hlinkClick xmlns:a="http://schemas.openxmlformats.org/drawingml/2006/main" r:id="rId102" tooltip="&quot;Choose translations of the previous li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hoose translations of the previous link">
                        <a:hlinkClick r:id="rId102" tooltip="&quot;Choose translations of the previous link&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sidR="00100C0C">
          <w:rPr>
            <w:rStyle w:val="s"/>
            <w:color w:val="009DC7"/>
            <w:sz w:val="15"/>
            <w:szCs w:val="15"/>
            <w:lang w:val="en"/>
          </w:rPr>
          <w:t> </w:t>
        </w:r>
      </w:hyperlink>
      <w:r w:rsidR="00100C0C">
        <w:rPr>
          <w:color w:val="49494A"/>
          <w:sz w:val="15"/>
          <w:szCs w:val="15"/>
          <w:lang w:val="en"/>
        </w:rPr>
        <w:t xml:space="preserve"> </w:t>
      </w:r>
    </w:p>
    <w:p w:rsidR="00100C0C" w:rsidRDefault="00100C0C" w:rsidP="00100C0C">
      <w:pPr>
        <w:pStyle w:val="Normlnweb"/>
        <w:rPr>
          <w:color w:val="49494A"/>
          <w:sz w:val="15"/>
          <w:szCs w:val="15"/>
          <w:lang w:val="en"/>
        </w:rPr>
      </w:pPr>
      <w:r>
        <w:rPr>
          <w:color w:val="49494A"/>
          <w:sz w:val="15"/>
          <w:szCs w:val="15"/>
          <w:lang w:val="en"/>
        </w:rPr>
        <w:t xml:space="preserve">The report also included a summary of </w:t>
      </w:r>
      <w:hyperlink r:id="rId107" w:tgtFrame="_blank" w:history="1">
        <w:r>
          <w:rPr>
            <w:rStyle w:val="Hypertextovodkaz"/>
            <w:sz w:val="15"/>
            <w:szCs w:val="15"/>
            <w:lang w:val="en"/>
          </w:rPr>
          <w:t>key findings</w:t>
        </w:r>
        <w:r>
          <w:rPr>
            <w:noProof/>
            <w:color w:val="009DC7"/>
            <w:sz w:val="15"/>
            <w:szCs w:val="15"/>
            <w:lang w:val="cs-CZ" w:eastAsia="cs-CZ"/>
          </w:rPr>
          <w:drawing>
            <wp:inline distT="0" distB="0" distL="0" distR="0">
              <wp:extent cx="152400" cy="152400"/>
              <wp:effectExtent l="0" t="0" r="0" b="0"/>
              <wp:docPr id="28" name="Picture 28" descr="pdf">
                <a:hlinkClick xmlns:a="http://schemas.openxmlformats.org/drawingml/2006/main" r:id="rId10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df">
                        <a:hlinkClick r:id="rId107" tgtFrame="_blank"/>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Style w:val="Hypertextovodkaz"/>
            <w:sz w:val="15"/>
            <w:szCs w:val="15"/>
            <w:lang w:val="en"/>
          </w:rPr>
          <w:t>(147 kB)</w:t>
        </w:r>
      </w:hyperlink>
      <w:r>
        <w:rPr>
          <w:color w:val="49494A"/>
          <w:sz w:val="15"/>
          <w:szCs w:val="15"/>
          <w:lang w:val="en"/>
        </w:rPr>
        <w:t xml:space="preserve"> </w:t>
      </w:r>
      <w:hyperlink r:id="rId108" w:tooltip="Choose translations of the previous link" w:history="1">
        <w:r>
          <w:rPr>
            <w:noProof/>
            <w:color w:val="009DC7"/>
            <w:sz w:val="15"/>
            <w:szCs w:val="15"/>
            <w:lang w:val="cs-CZ" w:eastAsia="cs-CZ"/>
          </w:rPr>
          <w:drawing>
            <wp:inline distT="0" distB="0" distL="0" distR="0">
              <wp:extent cx="152400" cy="123825"/>
              <wp:effectExtent l="0" t="0" r="0" b="9525"/>
              <wp:docPr id="27" name="Picture 27" descr="Choose translations of the previous link">
                <a:hlinkClick xmlns:a="http://schemas.openxmlformats.org/drawingml/2006/main" r:id="rId102" tooltip="&quot;Choose translations of the previous li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hoose translations of the previous link">
                        <a:hlinkClick r:id="rId102" tooltip="&quot;Choose translations of the previous link&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Pr>
            <w:rStyle w:val="s"/>
            <w:color w:val="009DC7"/>
            <w:sz w:val="15"/>
            <w:szCs w:val="15"/>
            <w:lang w:val="en"/>
          </w:rPr>
          <w:t> </w:t>
        </w:r>
      </w:hyperlink>
      <w:r>
        <w:rPr>
          <w:color w:val="49494A"/>
          <w:sz w:val="15"/>
          <w:szCs w:val="15"/>
          <w:lang w:val="en"/>
        </w:rPr>
        <w:t xml:space="preserve"> .</w:t>
      </w:r>
    </w:p>
    <w:p w:rsidR="00100C0C" w:rsidRPr="008F48AA" w:rsidRDefault="00100C0C" w:rsidP="00100C0C">
      <w:pPr>
        <w:pStyle w:val="Normlnweb"/>
        <w:rPr>
          <w:b/>
          <w:color w:val="FF0000"/>
          <w:sz w:val="15"/>
          <w:szCs w:val="15"/>
          <w:lang w:val="en"/>
        </w:rPr>
      </w:pPr>
      <w:r w:rsidRPr="008F48AA">
        <w:rPr>
          <w:b/>
          <w:color w:val="FF0000"/>
          <w:sz w:val="15"/>
          <w:szCs w:val="15"/>
          <w:lang w:val="en"/>
        </w:rPr>
        <w:t xml:space="preserve">The latest Education and Training Monitor is accompanied by 28 </w:t>
      </w:r>
      <w:hyperlink r:id="rId109" w:tgtFrame="_blank" w:history="1">
        <w:r w:rsidRPr="008F48AA">
          <w:rPr>
            <w:rStyle w:val="Hypertextovodkaz"/>
            <w:b/>
            <w:color w:val="FF0000"/>
            <w:sz w:val="15"/>
            <w:szCs w:val="15"/>
            <w:lang w:val="en"/>
          </w:rPr>
          <w:t>country reports</w:t>
        </w:r>
        <w:r w:rsidRPr="008F48AA">
          <w:rPr>
            <w:b/>
            <w:noProof/>
            <w:color w:val="FF0000"/>
            <w:sz w:val="15"/>
            <w:szCs w:val="15"/>
            <w:lang w:val="cs-CZ" w:eastAsia="cs-CZ"/>
          </w:rPr>
          <w:drawing>
            <wp:inline distT="0" distB="0" distL="0" distR="0" wp14:anchorId="39BD60EA" wp14:editId="313BC84D">
              <wp:extent cx="152400" cy="152400"/>
              <wp:effectExtent l="0" t="0" r="0" b="0"/>
              <wp:docPr id="26" name="Picture 26" descr="pdf">
                <a:hlinkClick xmlns:a="http://schemas.openxmlformats.org/drawingml/2006/main" r:id="rId10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df">
                        <a:hlinkClick r:id="rId109" tgtFrame="_blank"/>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F48AA">
          <w:rPr>
            <w:rStyle w:val="Hypertextovodkaz"/>
            <w:b/>
            <w:color w:val="FF0000"/>
            <w:sz w:val="15"/>
            <w:szCs w:val="15"/>
            <w:lang w:val="en"/>
          </w:rPr>
          <w:t>(11.66 Mb)</w:t>
        </w:r>
      </w:hyperlink>
      <w:r w:rsidRPr="008F48AA">
        <w:rPr>
          <w:b/>
          <w:color w:val="FF0000"/>
          <w:sz w:val="15"/>
          <w:szCs w:val="15"/>
          <w:lang w:val="en"/>
        </w:rPr>
        <w:t xml:space="preserve"> </w:t>
      </w:r>
      <w:hyperlink r:id="rId110" w:tooltip="Choose translations of the previous link" w:history="1">
        <w:r w:rsidRPr="008F48AA">
          <w:rPr>
            <w:b/>
            <w:noProof/>
            <w:color w:val="FF0000"/>
            <w:sz w:val="15"/>
            <w:szCs w:val="15"/>
            <w:lang w:val="cs-CZ" w:eastAsia="cs-CZ"/>
          </w:rPr>
          <w:drawing>
            <wp:inline distT="0" distB="0" distL="0" distR="0" wp14:anchorId="6F8A12F1" wp14:editId="1F059E51">
              <wp:extent cx="152400" cy="123825"/>
              <wp:effectExtent l="0" t="0" r="0" b="9525"/>
              <wp:docPr id="25" name="Picture 25" descr="Choose translations of the previous link">
                <a:hlinkClick xmlns:a="http://schemas.openxmlformats.org/drawingml/2006/main" r:id="rId102" tooltip="&quot;Choose translations of the previous li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hoose translations of the previous link">
                        <a:hlinkClick r:id="rId102" tooltip="&quot;Choose translations of the previous link&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sidRPr="008F48AA">
          <w:rPr>
            <w:rStyle w:val="s"/>
            <w:b/>
            <w:color w:val="FF0000"/>
            <w:sz w:val="15"/>
            <w:szCs w:val="15"/>
            <w:lang w:val="en"/>
          </w:rPr>
          <w:t> </w:t>
        </w:r>
      </w:hyperlink>
      <w:r w:rsidRPr="008F48AA">
        <w:rPr>
          <w:b/>
          <w:color w:val="FF0000"/>
          <w:sz w:val="15"/>
          <w:szCs w:val="15"/>
          <w:lang w:val="en"/>
        </w:rPr>
        <w:t xml:space="preserve"> , as well as a </w:t>
      </w:r>
      <w:proofErr w:type="spellStart"/>
      <w:r w:rsidRPr="008F48AA">
        <w:rPr>
          <w:b/>
          <w:color w:val="FF0000"/>
          <w:sz w:val="15"/>
          <w:szCs w:val="15"/>
          <w:lang w:val="en"/>
        </w:rPr>
        <w:t>visualisation</w:t>
      </w:r>
      <w:proofErr w:type="spellEnd"/>
      <w:r w:rsidRPr="008F48AA">
        <w:rPr>
          <w:b/>
          <w:color w:val="FF0000"/>
          <w:sz w:val="15"/>
          <w:szCs w:val="15"/>
          <w:lang w:val="en"/>
        </w:rPr>
        <w:t xml:space="preserve"> tool to evaluate the performance and progress of the Member States in relation to the ET2020 targets.</w:t>
      </w:r>
    </w:p>
    <w:p w:rsidR="00100C0C" w:rsidRDefault="00100C0C" w:rsidP="00100C0C">
      <w:pPr>
        <w:pStyle w:val="Normlnweb"/>
        <w:rPr>
          <w:color w:val="49494A"/>
          <w:sz w:val="15"/>
          <w:szCs w:val="15"/>
          <w:lang w:val="en"/>
        </w:rPr>
      </w:pPr>
      <w:r>
        <w:rPr>
          <w:color w:val="49494A"/>
          <w:sz w:val="15"/>
          <w:szCs w:val="15"/>
          <w:lang w:val="en"/>
        </w:rPr>
        <w:t xml:space="preserve">The </w:t>
      </w:r>
      <w:proofErr w:type="spellStart"/>
      <w:r>
        <w:rPr>
          <w:color w:val="49494A"/>
          <w:sz w:val="15"/>
          <w:szCs w:val="15"/>
          <w:lang w:val="en"/>
        </w:rPr>
        <w:t>visualisation</w:t>
      </w:r>
      <w:proofErr w:type="spellEnd"/>
      <w:r>
        <w:rPr>
          <w:color w:val="49494A"/>
          <w:sz w:val="15"/>
          <w:szCs w:val="15"/>
          <w:lang w:val="en"/>
        </w:rPr>
        <w:t xml:space="preserve"> tool covers comparable performance data on:</w:t>
      </w:r>
    </w:p>
    <w:p w:rsidR="00100C0C" w:rsidRDefault="00100C0C" w:rsidP="00100C0C">
      <w:pPr>
        <w:numPr>
          <w:ilvl w:val="0"/>
          <w:numId w:val="9"/>
        </w:numPr>
        <w:spacing w:before="100" w:beforeAutospacing="1" w:after="100" w:afterAutospacing="1" w:line="240" w:lineRule="auto"/>
        <w:rPr>
          <w:color w:val="49494A"/>
          <w:sz w:val="15"/>
          <w:szCs w:val="15"/>
          <w:lang w:val="en"/>
        </w:rPr>
      </w:pPr>
      <w:r>
        <w:rPr>
          <w:rStyle w:val="link-disabled"/>
          <w:color w:val="49494A"/>
          <w:sz w:val="15"/>
          <w:szCs w:val="15"/>
          <w:lang w:val="en"/>
        </w:rPr>
        <w:t>Early leavers from education and training</w:t>
      </w:r>
      <w:r>
        <w:rPr>
          <w:color w:val="49494A"/>
          <w:sz w:val="15"/>
          <w:szCs w:val="15"/>
          <w:lang w:val="en"/>
        </w:rPr>
        <w:t xml:space="preserve"> </w:t>
      </w:r>
    </w:p>
    <w:p w:rsidR="00100C0C" w:rsidRDefault="00100C0C" w:rsidP="00100C0C">
      <w:pPr>
        <w:numPr>
          <w:ilvl w:val="0"/>
          <w:numId w:val="9"/>
        </w:numPr>
        <w:spacing w:before="100" w:beforeAutospacing="1" w:after="100" w:afterAutospacing="1" w:line="240" w:lineRule="auto"/>
        <w:rPr>
          <w:color w:val="49494A"/>
          <w:sz w:val="15"/>
          <w:szCs w:val="15"/>
          <w:lang w:val="en"/>
        </w:rPr>
      </w:pPr>
      <w:r>
        <w:rPr>
          <w:rStyle w:val="link-disabled"/>
          <w:color w:val="49494A"/>
          <w:sz w:val="15"/>
          <w:szCs w:val="15"/>
          <w:lang w:val="en"/>
        </w:rPr>
        <w:t>Tertiary education attainment</w:t>
      </w:r>
      <w:r>
        <w:rPr>
          <w:color w:val="49494A"/>
          <w:sz w:val="15"/>
          <w:szCs w:val="15"/>
          <w:lang w:val="en"/>
        </w:rPr>
        <w:t xml:space="preserve"> </w:t>
      </w:r>
    </w:p>
    <w:p w:rsidR="00100C0C" w:rsidRDefault="007904D8" w:rsidP="00100C0C">
      <w:pPr>
        <w:numPr>
          <w:ilvl w:val="0"/>
          <w:numId w:val="9"/>
        </w:numPr>
        <w:spacing w:before="100" w:beforeAutospacing="1" w:after="100" w:afterAutospacing="1" w:line="240" w:lineRule="auto"/>
        <w:rPr>
          <w:color w:val="49494A"/>
          <w:sz w:val="15"/>
          <w:szCs w:val="15"/>
          <w:lang w:val="en"/>
        </w:rPr>
      </w:pPr>
      <w:hyperlink r:id="rId111" w:tgtFrame="_blank" w:history="1">
        <w:r w:rsidR="00100C0C">
          <w:rPr>
            <w:color w:val="009DC7"/>
            <w:sz w:val="15"/>
            <w:szCs w:val="15"/>
            <w:lang w:val="en"/>
          </w:rPr>
          <w:t xml:space="preserve">Early childhood education and care </w:t>
        </w:r>
        <w:r w:rsidR="00100C0C">
          <w:rPr>
            <w:noProof/>
            <w:color w:val="009DC7"/>
            <w:sz w:val="15"/>
            <w:szCs w:val="15"/>
            <w:lang w:val="cs-CZ" w:eastAsia="cs-CZ"/>
          </w:rPr>
          <w:drawing>
            <wp:inline distT="0" distB="0" distL="0" distR="0">
              <wp:extent cx="85725" cy="85725"/>
              <wp:effectExtent l="0" t="0" r="9525" b="9525"/>
              <wp:docPr id="24" name="Picture 24" descr="http://ec.europa.eu/education/images/icon-ext-europa.gif">
                <a:hlinkClick xmlns:a="http://schemas.openxmlformats.org/drawingml/2006/main" r:id="rId11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ec.europa.eu/education/images/icon-ext-europa.gif">
                        <a:hlinkClick r:id="rId111" tgtFrame="_blank"/>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hyperlink>
    </w:p>
    <w:p w:rsidR="00100C0C" w:rsidRDefault="00100C0C" w:rsidP="00100C0C">
      <w:pPr>
        <w:numPr>
          <w:ilvl w:val="0"/>
          <w:numId w:val="9"/>
        </w:numPr>
        <w:spacing w:before="100" w:beforeAutospacing="1" w:after="100" w:afterAutospacing="1" w:line="240" w:lineRule="auto"/>
        <w:rPr>
          <w:color w:val="49494A"/>
          <w:sz w:val="15"/>
          <w:szCs w:val="15"/>
          <w:lang w:val="en"/>
        </w:rPr>
      </w:pPr>
      <w:r>
        <w:rPr>
          <w:color w:val="49494A"/>
          <w:sz w:val="15"/>
          <w:szCs w:val="15"/>
          <w:lang w:val="en"/>
        </w:rPr>
        <w:t xml:space="preserve">Low achievement in </w:t>
      </w:r>
      <w:hyperlink r:id="rId112" w:tgtFrame="_blank" w:history="1">
        <w:r>
          <w:rPr>
            <w:color w:val="009DC7"/>
            <w:sz w:val="15"/>
            <w:szCs w:val="15"/>
            <w:lang w:val="en"/>
          </w:rPr>
          <w:t xml:space="preserve">reading </w:t>
        </w:r>
        <w:r>
          <w:rPr>
            <w:noProof/>
            <w:color w:val="009DC7"/>
            <w:sz w:val="15"/>
            <w:szCs w:val="15"/>
            <w:lang w:val="cs-CZ" w:eastAsia="cs-CZ"/>
          </w:rPr>
          <w:drawing>
            <wp:inline distT="0" distB="0" distL="0" distR="0">
              <wp:extent cx="85725" cy="85725"/>
              <wp:effectExtent l="0" t="0" r="9525" b="9525"/>
              <wp:docPr id="23" name="Picture 23" descr="http://ec.europa.eu/education/images/icon-ext-europa.gif">
                <a:hlinkClick xmlns:a="http://schemas.openxmlformats.org/drawingml/2006/main" r:id="rId1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ec.europa.eu/education/images/icon-ext-europa.gif">
                        <a:hlinkClick r:id="rId112" tgtFrame="_blank"/>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hyperlink>
      <w:r>
        <w:rPr>
          <w:color w:val="49494A"/>
          <w:sz w:val="15"/>
          <w:szCs w:val="15"/>
          <w:lang w:val="en"/>
        </w:rPr>
        <w:t xml:space="preserve">, </w:t>
      </w:r>
      <w:hyperlink r:id="rId113" w:tgtFrame="_blank" w:history="1">
        <w:proofErr w:type="spellStart"/>
        <w:r>
          <w:rPr>
            <w:color w:val="009DC7"/>
            <w:sz w:val="15"/>
            <w:szCs w:val="15"/>
            <w:lang w:val="en"/>
          </w:rPr>
          <w:t>maths</w:t>
        </w:r>
        <w:proofErr w:type="spellEnd"/>
        <w:r>
          <w:rPr>
            <w:color w:val="009DC7"/>
            <w:sz w:val="15"/>
            <w:szCs w:val="15"/>
            <w:lang w:val="en"/>
          </w:rPr>
          <w:t xml:space="preserve"> </w:t>
        </w:r>
        <w:r>
          <w:rPr>
            <w:noProof/>
            <w:color w:val="009DC7"/>
            <w:sz w:val="15"/>
            <w:szCs w:val="15"/>
            <w:lang w:val="cs-CZ" w:eastAsia="cs-CZ"/>
          </w:rPr>
          <w:drawing>
            <wp:inline distT="0" distB="0" distL="0" distR="0">
              <wp:extent cx="85725" cy="85725"/>
              <wp:effectExtent l="0" t="0" r="9525" b="9525"/>
              <wp:docPr id="22" name="Picture 22" descr="http://ec.europa.eu/education/images/icon-ext-europa.gif">
                <a:hlinkClick xmlns:a="http://schemas.openxmlformats.org/drawingml/2006/main" r:id="rId1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ec.europa.eu/education/images/icon-ext-europa.gif">
                        <a:hlinkClick r:id="rId113" tgtFrame="_blank"/>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hyperlink>
      <w:r>
        <w:rPr>
          <w:color w:val="49494A"/>
          <w:sz w:val="15"/>
          <w:szCs w:val="15"/>
          <w:lang w:val="en"/>
        </w:rPr>
        <w:t xml:space="preserve">, and </w:t>
      </w:r>
      <w:hyperlink r:id="rId114" w:tgtFrame="_blank" w:history="1">
        <w:r>
          <w:rPr>
            <w:color w:val="009DC7"/>
            <w:sz w:val="15"/>
            <w:szCs w:val="15"/>
            <w:lang w:val="en"/>
          </w:rPr>
          <w:t xml:space="preserve">science </w:t>
        </w:r>
        <w:r>
          <w:rPr>
            <w:noProof/>
            <w:color w:val="009DC7"/>
            <w:sz w:val="15"/>
            <w:szCs w:val="15"/>
            <w:lang w:val="cs-CZ" w:eastAsia="cs-CZ"/>
          </w:rPr>
          <w:drawing>
            <wp:inline distT="0" distB="0" distL="0" distR="0">
              <wp:extent cx="85725" cy="85725"/>
              <wp:effectExtent l="0" t="0" r="9525" b="9525"/>
              <wp:docPr id="21" name="Picture 21" descr="http://ec.europa.eu/education/images/icon-ext-europa.gif">
                <a:hlinkClick xmlns:a="http://schemas.openxmlformats.org/drawingml/2006/main" r:id="rId1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ec.europa.eu/education/images/icon-ext-europa.gif">
                        <a:hlinkClick r:id="rId114" tgtFrame="_blank"/>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5725" cy="85725"/>
                      </a:xfrm>
                      <a:prstGeom prst="rect">
                        <a:avLst/>
                      </a:prstGeom>
                      <a:noFill/>
                      <a:ln>
                        <a:noFill/>
                      </a:ln>
                    </pic:spPr>
                  </pic:pic>
                </a:graphicData>
              </a:graphic>
            </wp:inline>
          </w:drawing>
        </w:r>
      </w:hyperlink>
    </w:p>
    <w:p w:rsidR="00100C0C" w:rsidRDefault="00100C0C" w:rsidP="00100C0C">
      <w:pPr>
        <w:numPr>
          <w:ilvl w:val="0"/>
          <w:numId w:val="9"/>
        </w:numPr>
        <w:spacing w:before="100" w:beforeAutospacing="1" w:after="100" w:afterAutospacing="1" w:line="240" w:lineRule="auto"/>
        <w:rPr>
          <w:color w:val="49494A"/>
          <w:sz w:val="15"/>
          <w:szCs w:val="15"/>
          <w:lang w:val="en"/>
        </w:rPr>
      </w:pPr>
      <w:r>
        <w:rPr>
          <w:rStyle w:val="link-disabled"/>
          <w:color w:val="49494A"/>
          <w:sz w:val="15"/>
          <w:szCs w:val="15"/>
          <w:lang w:val="en"/>
        </w:rPr>
        <w:t>Employment rate of recent graduates</w:t>
      </w:r>
      <w:r>
        <w:rPr>
          <w:color w:val="49494A"/>
          <w:sz w:val="15"/>
          <w:szCs w:val="15"/>
          <w:lang w:val="en"/>
        </w:rPr>
        <w:t xml:space="preserve"> </w:t>
      </w:r>
    </w:p>
    <w:p w:rsidR="00100C0C" w:rsidRDefault="00100C0C" w:rsidP="00100C0C">
      <w:pPr>
        <w:numPr>
          <w:ilvl w:val="0"/>
          <w:numId w:val="9"/>
        </w:numPr>
        <w:spacing w:before="100" w:beforeAutospacing="1" w:after="100" w:afterAutospacing="1" w:line="240" w:lineRule="auto"/>
        <w:rPr>
          <w:color w:val="49494A"/>
          <w:sz w:val="15"/>
          <w:szCs w:val="15"/>
          <w:lang w:val="en"/>
        </w:rPr>
      </w:pPr>
      <w:r>
        <w:rPr>
          <w:rStyle w:val="link-disabled"/>
          <w:color w:val="49494A"/>
          <w:sz w:val="15"/>
          <w:szCs w:val="15"/>
          <w:lang w:val="en"/>
        </w:rPr>
        <w:t>Adult participation in lifelong learning</w:t>
      </w:r>
      <w:r>
        <w:rPr>
          <w:color w:val="49494A"/>
          <w:sz w:val="15"/>
          <w:szCs w:val="15"/>
          <w:lang w:val="en"/>
        </w:rPr>
        <w:t xml:space="preserve"> </w:t>
      </w:r>
    </w:p>
    <w:p w:rsidR="00100C0C" w:rsidRDefault="00100C0C" w:rsidP="00100C0C">
      <w:pPr>
        <w:jc w:val="center"/>
        <w:rPr>
          <w:b/>
          <w:sz w:val="32"/>
          <w:szCs w:val="32"/>
          <w:lang w:val="cs-CZ"/>
        </w:rPr>
      </w:pPr>
    </w:p>
    <w:p w:rsidR="00100C0C" w:rsidRDefault="00100C0C" w:rsidP="00100C0C">
      <w:pPr>
        <w:jc w:val="center"/>
        <w:rPr>
          <w:b/>
          <w:sz w:val="32"/>
          <w:szCs w:val="32"/>
          <w:lang w:val="cs-CZ"/>
        </w:rPr>
      </w:pPr>
    </w:p>
    <w:p w:rsidR="00D42753" w:rsidRDefault="00D42753" w:rsidP="00D42753">
      <w:pPr>
        <w:jc w:val="center"/>
        <w:rPr>
          <w:b/>
          <w:sz w:val="32"/>
          <w:szCs w:val="32"/>
          <w:lang w:val="cs-CZ"/>
        </w:rPr>
      </w:pPr>
      <w:r>
        <w:rPr>
          <w:b/>
          <w:sz w:val="32"/>
          <w:szCs w:val="32"/>
          <w:lang w:val="cs-CZ"/>
        </w:rPr>
        <w:lastRenderedPageBreak/>
        <w:t>Změna financování VŠ ve Finsku</w:t>
      </w:r>
    </w:p>
    <w:p w:rsidR="00D42753" w:rsidRDefault="00D42753" w:rsidP="00D42753">
      <w:pPr>
        <w:pBdr>
          <w:bottom w:val="single" w:sz="6" w:space="0" w:color="9EBFAD"/>
        </w:pBdr>
        <w:shd w:val="clear" w:color="auto" w:fill="FFFFFF"/>
        <w:spacing w:after="150" w:line="288" w:lineRule="atLeast"/>
        <w:outlineLvl w:val="1"/>
        <w:rPr>
          <w:rFonts w:ascii="Verdana" w:hAnsi="Verdana" w:cs="Arial"/>
          <w:b/>
          <w:bCs/>
          <w:color w:val="65461B"/>
          <w:kern w:val="36"/>
        </w:rPr>
      </w:pPr>
      <w:r>
        <w:rPr>
          <w:rFonts w:ascii="Verdana" w:hAnsi="Verdana" w:cs="Arial"/>
          <w:b/>
          <w:bCs/>
          <w:color w:val="65461B"/>
          <w:kern w:val="36"/>
        </w:rPr>
        <w:t>A proposal for revising the funding model for universities as of 2015</w:t>
      </w:r>
    </w:p>
    <w:p w:rsidR="00D42753" w:rsidRDefault="007904D8" w:rsidP="00D42753">
      <w:pPr>
        <w:shd w:val="clear" w:color="auto" w:fill="FFFFFF"/>
        <w:spacing w:after="0" w:line="312" w:lineRule="atLeast"/>
        <w:rPr>
          <w:rFonts w:ascii="Arial" w:hAnsi="Arial" w:cs="Arial"/>
          <w:sz w:val="18"/>
          <w:szCs w:val="18"/>
        </w:rPr>
      </w:pPr>
      <w:hyperlink r:id="rId115" w:history="1">
        <w:proofErr w:type="spellStart"/>
        <w:r w:rsidR="00D42753">
          <w:rPr>
            <w:rStyle w:val="Hypertextovodkaz"/>
            <w:rFonts w:ascii="Arial" w:hAnsi="Arial" w:cs="Arial"/>
            <w:sz w:val="18"/>
            <w:szCs w:val="18"/>
          </w:rPr>
          <w:t>tiivistelmä</w:t>
        </w:r>
        <w:proofErr w:type="spellEnd"/>
      </w:hyperlink>
      <w:r w:rsidR="00D42753">
        <w:rPr>
          <w:rFonts w:ascii="Arial" w:hAnsi="Arial" w:cs="Arial"/>
          <w:sz w:val="18"/>
          <w:szCs w:val="18"/>
        </w:rPr>
        <w:t xml:space="preserve"> / </w:t>
      </w:r>
      <w:hyperlink r:id="rId116" w:history="1">
        <w:proofErr w:type="spellStart"/>
        <w:r w:rsidR="00D42753">
          <w:rPr>
            <w:rStyle w:val="Hypertextovodkaz"/>
            <w:rFonts w:ascii="Arial" w:hAnsi="Arial" w:cs="Arial"/>
            <w:sz w:val="18"/>
            <w:szCs w:val="18"/>
          </w:rPr>
          <w:t>sammandrag</w:t>
        </w:r>
        <w:proofErr w:type="spellEnd"/>
      </w:hyperlink>
      <w:r w:rsidR="00D42753">
        <w:rPr>
          <w:rFonts w:ascii="Arial" w:hAnsi="Arial" w:cs="Arial"/>
          <w:sz w:val="18"/>
          <w:szCs w:val="18"/>
        </w:rPr>
        <w:t xml:space="preserve"> / summary </w:t>
      </w:r>
    </w:p>
    <w:p w:rsidR="00D42753" w:rsidRDefault="007904D8" w:rsidP="00D42753">
      <w:pPr>
        <w:shd w:val="clear" w:color="auto" w:fill="FFFFFF"/>
        <w:spacing w:line="312" w:lineRule="atLeast"/>
        <w:rPr>
          <w:rFonts w:ascii="Arial" w:hAnsi="Arial" w:cs="Arial"/>
          <w:sz w:val="18"/>
          <w:szCs w:val="18"/>
        </w:rPr>
      </w:pPr>
      <w:hyperlink r:id="rId117" w:history="1">
        <w:r w:rsidR="00D42753">
          <w:rPr>
            <w:rFonts w:ascii="Arial" w:hAnsi="Arial" w:cs="Arial"/>
            <w:color w:val="8E6E43"/>
            <w:sz w:val="18"/>
            <w:szCs w:val="18"/>
            <w:u w:val="single"/>
          </w:rPr>
          <w:t>Back</w:t>
        </w:r>
      </w:hyperlink>
      <w:r w:rsidR="00D42753">
        <w:rPr>
          <w:rFonts w:ascii="Arial" w:hAnsi="Arial" w:cs="Arial"/>
          <w:sz w:val="18"/>
          <w:szCs w:val="18"/>
        </w:rPr>
        <w:t xml:space="preserve"> </w:t>
      </w:r>
    </w:p>
    <w:p w:rsidR="00D42753" w:rsidRDefault="00D42753" w:rsidP="00D42753">
      <w:pPr>
        <w:numPr>
          <w:ilvl w:val="0"/>
          <w:numId w:val="10"/>
        </w:numPr>
        <w:shd w:val="clear" w:color="auto" w:fill="FFFFFF"/>
        <w:spacing w:after="75" w:line="312" w:lineRule="atLeast"/>
        <w:ind w:left="0"/>
        <w:rPr>
          <w:rFonts w:ascii="Arial" w:hAnsi="Arial" w:cs="Arial"/>
          <w:sz w:val="18"/>
          <w:szCs w:val="18"/>
        </w:rPr>
      </w:pPr>
      <w:r>
        <w:rPr>
          <w:rFonts w:ascii="Arial" w:hAnsi="Arial" w:cs="Arial"/>
          <w:sz w:val="18"/>
          <w:szCs w:val="18"/>
        </w:rPr>
        <w:t>Title</w:t>
      </w:r>
    </w:p>
    <w:p w:rsidR="00D42753" w:rsidRDefault="00D42753" w:rsidP="00D42753">
      <w:pPr>
        <w:numPr>
          <w:ilvl w:val="0"/>
          <w:numId w:val="10"/>
        </w:numPr>
        <w:shd w:val="clear" w:color="auto" w:fill="FFFFFF"/>
        <w:spacing w:after="75" w:line="312" w:lineRule="atLeast"/>
        <w:ind w:left="0"/>
        <w:rPr>
          <w:rFonts w:ascii="Arial" w:hAnsi="Arial" w:cs="Arial"/>
          <w:sz w:val="18"/>
          <w:szCs w:val="18"/>
        </w:rPr>
      </w:pPr>
      <w:r>
        <w:rPr>
          <w:rFonts w:ascii="Arial" w:hAnsi="Arial" w:cs="Arial"/>
          <w:sz w:val="18"/>
          <w:szCs w:val="18"/>
        </w:rPr>
        <w:t>Greater incentives for strengthening quality in education and research: A proposal for revising the funding model for universities as of 2015 </w:t>
      </w:r>
    </w:p>
    <w:p w:rsidR="00D42753" w:rsidRDefault="00D42753" w:rsidP="00D42753">
      <w:pPr>
        <w:numPr>
          <w:ilvl w:val="0"/>
          <w:numId w:val="11"/>
        </w:numPr>
        <w:shd w:val="clear" w:color="auto" w:fill="FFFFFF"/>
        <w:spacing w:after="75" w:line="312" w:lineRule="atLeast"/>
        <w:ind w:left="0"/>
        <w:rPr>
          <w:rFonts w:ascii="Arial" w:hAnsi="Arial" w:cs="Arial"/>
          <w:sz w:val="18"/>
          <w:szCs w:val="18"/>
        </w:rPr>
      </w:pPr>
      <w:r>
        <w:rPr>
          <w:rFonts w:ascii="Arial" w:hAnsi="Arial" w:cs="Arial"/>
          <w:sz w:val="18"/>
          <w:szCs w:val="18"/>
        </w:rPr>
        <w:t>Authors</w:t>
      </w:r>
    </w:p>
    <w:p w:rsidR="00D42753" w:rsidRDefault="00D42753" w:rsidP="00D42753">
      <w:pPr>
        <w:numPr>
          <w:ilvl w:val="0"/>
          <w:numId w:val="11"/>
        </w:numPr>
        <w:shd w:val="clear" w:color="auto" w:fill="FFFFFF"/>
        <w:spacing w:after="75" w:line="312" w:lineRule="atLeast"/>
        <w:ind w:left="0"/>
        <w:rPr>
          <w:rFonts w:ascii="Arial" w:hAnsi="Arial" w:cs="Arial"/>
          <w:sz w:val="18"/>
          <w:szCs w:val="18"/>
        </w:rPr>
      </w:pPr>
      <w:r>
        <w:rPr>
          <w:rFonts w:ascii="Arial" w:hAnsi="Arial" w:cs="Arial"/>
          <w:sz w:val="18"/>
          <w:szCs w:val="18"/>
        </w:rPr>
        <w:t> </w:t>
      </w:r>
    </w:p>
    <w:p w:rsidR="00D42753" w:rsidRDefault="00D42753" w:rsidP="00D42753">
      <w:pPr>
        <w:numPr>
          <w:ilvl w:val="0"/>
          <w:numId w:val="12"/>
        </w:numPr>
        <w:shd w:val="clear" w:color="auto" w:fill="FFFFFF"/>
        <w:spacing w:after="75" w:line="312" w:lineRule="atLeast"/>
        <w:ind w:left="0"/>
        <w:rPr>
          <w:rFonts w:ascii="Arial" w:hAnsi="Arial" w:cs="Arial"/>
          <w:sz w:val="18"/>
          <w:szCs w:val="18"/>
        </w:rPr>
      </w:pPr>
      <w:r>
        <w:rPr>
          <w:rFonts w:ascii="Arial" w:hAnsi="Arial" w:cs="Arial"/>
          <w:sz w:val="18"/>
          <w:szCs w:val="18"/>
        </w:rPr>
        <w:t>Committee</w:t>
      </w:r>
    </w:p>
    <w:p w:rsidR="00D42753" w:rsidRDefault="00D42753" w:rsidP="00D42753">
      <w:pPr>
        <w:numPr>
          <w:ilvl w:val="0"/>
          <w:numId w:val="12"/>
        </w:numPr>
        <w:shd w:val="clear" w:color="auto" w:fill="FFFFFF"/>
        <w:spacing w:after="75" w:line="312" w:lineRule="atLeast"/>
        <w:ind w:left="0"/>
        <w:rPr>
          <w:rFonts w:ascii="Arial" w:hAnsi="Arial" w:cs="Arial"/>
          <w:sz w:val="18"/>
          <w:szCs w:val="18"/>
        </w:rPr>
      </w:pPr>
      <w:r>
        <w:rPr>
          <w:rFonts w:ascii="Arial" w:hAnsi="Arial" w:cs="Arial"/>
          <w:sz w:val="18"/>
          <w:szCs w:val="18"/>
        </w:rPr>
        <w:t> </w:t>
      </w:r>
    </w:p>
    <w:p w:rsidR="00D42753" w:rsidRDefault="00D42753" w:rsidP="00D42753">
      <w:pPr>
        <w:numPr>
          <w:ilvl w:val="0"/>
          <w:numId w:val="13"/>
        </w:numPr>
        <w:shd w:val="clear" w:color="auto" w:fill="FFFFFF"/>
        <w:spacing w:after="75" w:line="312" w:lineRule="atLeast"/>
        <w:ind w:left="0"/>
        <w:rPr>
          <w:rFonts w:ascii="Arial" w:hAnsi="Arial" w:cs="Arial"/>
          <w:sz w:val="18"/>
          <w:szCs w:val="18"/>
        </w:rPr>
      </w:pPr>
      <w:r>
        <w:rPr>
          <w:rFonts w:ascii="Arial" w:hAnsi="Arial" w:cs="Arial"/>
          <w:sz w:val="18"/>
          <w:szCs w:val="18"/>
        </w:rPr>
        <w:t>Series of publications</w:t>
      </w:r>
    </w:p>
    <w:p w:rsidR="00D42753" w:rsidRDefault="00D42753" w:rsidP="00D42753">
      <w:pPr>
        <w:numPr>
          <w:ilvl w:val="0"/>
          <w:numId w:val="13"/>
        </w:numPr>
        <w:shd w:val="clear" w:color="auto" w:fill="FFFFFF"/>
        <w:spacing w:after="75" w:line="312" w:lineRule="atLeast"/>
        <w:ind w:left="0"/>
        <w:rPr>
          <w:rFonts w:ascii="Arial" w:hAnsi="Arial" w:cs="Arial"/>
          <w:sz w:val="18"/>
          <w:szCs w:val="18"/>
        </w:rPr>
      </w:pPr>
      <w:r>
        <w:rPr>
          <w:rFonts w:ascii="Arial" w:hAnsi="Arial" w:cs="Arial"/>
          <w:sz w:val="18"/>
          <w:szCs w:val="18"/>
        </w:rPr>
        <w:t>Reports of the Ministry of Education and Culture, Finland 2014:7 </w:t>
      </w:r>
    </w:p>
    <w:p w:rsidR="00D42753" w:rsidRDefault="00D42753" w:rsidP="00D42753">
      <w:pPr>
        <w:numPr>
          <w:ilvl w:val="0"/>
          <w:numId w:val="14"/>
        </w:numPr>
        <w:shd w:val="clear" w:color="auto" w:fill="FFFFFF"/>
        <w:spacing w:after="75" w:line="312" w:lineRule="atLeast"/>
        <w:ind w:left="0"/>
        <w:rPr>
          <w:rFonts w:ascii="Arial" w:hAnsi="Arial" w:cs="Arial"/>
          <w:sz w:val="18"/>
          <w:szCs w:val="18"/>
        </w:rPr>
      </w:pPr>
      <w:r>
        <w:rPr>
          <w:rFonts w:ascii="Arial" w:hAnsi="Arial" w:cs="Arial"/>
          <w:sz w:val="18"/>
          <w:szCs w:val="18"/>
        </w:rPr>
        <w:t>Published</w:t>
      </w:r>
    </w:p>
    <w:p w:rsidR="00D42753" w:rsidRDefault="00D42753" w:rsidP="00D42753">
      <w:pPr>
        <w:numPr>
          <w:ilvl w:val="0"/>
          <w:numId w:val="14"/>
        </w:numPr>
        <w:shd w:val="clear" w:color="auto" w:fill="FFFFFF"/>
        <w:spacing w:after="75" w:line="312" w:lineRule="atLeast"/>
        <w:ind w:left="0"/>
        <w:rPr>
          <w:rFonts w:ascii="Arial" w:hAnsi="Arial" w:cs="Arial"/>
          <w:sz w:val="18"/>
          <w:szCs w:val="18"/>
        </w:rPr>
      </w:pPr>
      <w:r>
        <w:rPr>
          <w:rFonts w:ascii="Arial" w:hAnsi="Arial" w:cs="Arial"/>
          <w:sz w:val="18"/>
          <w:szCs w:val="18"/>
        </w:rPr>
        <w:t>10-02-2014 </w:t>
      </w:r>
    </w:p>
    <w:p w:rsidR="00D42753" w:rsidRDefault="00D42753" w:rsidP="00D42753">
      <w:pPr>
        <w:numPr>
          <w:ilvl w:val="0"/>
          <w:numId w:val="15"/>
        </w:numPr>
        <w:shd w:val="clear" w:color="auto" w:fill="FFFFFF"/>
        <w:spacing w:after="75" w:line="312" w:lineRule="atLeast"/>
        <w:ind w:left="0"/>
        <w:rPr>
          <w:rFonts w:ascii="Arial" w:hAnsi="Arial" w:cs="Arial"/>
          <w:sz w:val="18"/>
          <w:szCs w:val="18"/>
        </w:rPr>
      </w:pPr>
      <w:r>
        <w:rPr>
          <w:rFonts w:ascii="Arial" w:hAnsi="Arial" w:cs="Arial"/>
          <w:sz w:val="18"/>
          <w:szCs w:val="18"/>
        </w:rPr>
        <w:t>Number of pages</w:t>
      </w:r>
    </w:p>
    <w:p w:rsidR="00D42753" w:rsidRDefault="00D42753" w:rsidP="00D42753">
      <w:pPr>
        <w:numPr>
          <w:ilvl w:val="0"/>
          <w:numId w:val="15"/>
        </w:numPr>
        <w:shd w:val="clear" w:color="auto" w:fill="FFFFFF"/>
        <w:spacing w:after="75" w:line="312" w:lineRule="atLeast"/>
        <w:ind w:left="0"/>
        <w:rPr>
          <w:rFonts w:ascii="Arial" w:hAnsi="Arial" w:cs="Arial"/>
          <w:sz w:val="18"/>
          <w:szCs w:val="18"/>
        </w:rPr>
      </w:pPr>
      <w:r>
        <w:rPr>
          <w:rFonts w:ascii="Arial" w:hAnsi="Arial" w:cs="Arial"/>
          <w:sz w:val="18"/>
          <w:szCs w:val="18"/>
        </w:rPr>
        <w:t>44 </w:t>
      </w:r>
    </w:p>
    <w:p w:rsidR="00D42753" w:rsidRDefault="00D42753" w:rsidP="00D42753">
      <w:pPr>
        <w:numPr>
          <w:ilvl w:val="0"/>
          <w:numId w:val="16"/>
        </w:numPr>
        <w:shd w:val="clear" w:color="auto" w:fill="FFFFFF"/>
        <w:spacing w:after="75" w:line="312" w:lineRule="atLeast"/>
        <w:ind w:left="0"/>
        <w:rPr>
          <w:rFonts w:ascii="Arial" w:hAnsi="Arial" w:cs="Arial"/>
          <w:sz w:val="18"/>
          <w:szCs w:val="18"/>
        </w:rPr>
      </w:pPr>
      <w:r>
        <w:rPr>
          <w:rFonts w:ascii="Arial" w:hAnsi="Arial" w:cs="Arial"/>
          <w:sz w:val="18"/>
          <w:szCs w:val="18"/>
        </w:rPr>
        <w:t>ISBN</w:t>
      </w:r>
    </w:p>
    <w:p w:rsidR="00D42753" w:rsidRDefault="00D42753" w:rsidP="00D42753">
      <w:pPr>
        <w:numPr>
          <w:ilvl w:val="0"/>
          <w:numId w:val="16"/>
        </w:numPr>
        <w:shd w:val="clear" w:color="auto" w:fill="FFFFFF"/>
        <w:spacing w:after="75" w:line="312" w:lineRule="atLeast"/>
        <w:ind w:left="0"/>
        <w:rPr>
          <w:rFonts w:ascii="Arial" w:hAnsi="Arial" w:cs="Arial"/>
          <w:sz w:val="18"/>
          <w:szCs w:val="18"/>
        </w:rPr>
      </w:pPr>
      <w:r>
        <w:rPr>
          <w:rFonts w:ascii="Arial" w:hAnsi="Arial" w:cs="Arial"/>
          <w:sz w:val="18"/>
          <w:szCs w:val="18"/>
        </w:rPr>
        <w:t xml:space="preserve">978-952-263-260-9 (PDF)  </w:t>
      </w:r>
      <w:r>
        <w:rPr>
          <w:rFonts w:ascii="Arial" w:hAnsi="Arial" w:cs="Arial"/>
          <w:sz w:val="18"/>
          <w:szCs w:val="18"/>
        </w:rPr>
        <w:br/>
        <w:t> </w:t>
      </w:r>
    </w:p>
    <w:p w:rsidR="00D42753" w:rsidRDefault="00D42753" w:rsidP="00D42753">
      <w:pPr>
        <w:numPr>
          <w:ilvl w:val="0"/>
          <w:numId w:val="17"/>
        </w:numPr>
        <w:shd w:val="clear" w:color="auto" w:fill="FFFFFF"/>
        <w:spacing w:after="75" w:line="312" w:lineRule="atLeast"/>
        <w:ind w:left="0"/>
        <w:rPr>
          <w:rFonts w:ascii="Arial" w:hAnsi="Arial" w:cs="Arial"/>
          <w:sz w:val="18"/>
          <w:szCs w:val="18"/>
        </w:rPr>
      </w:pPr>
      <w:r>
        <w:rPr>
          <w:rFonts w:ascii="Arial" w:hAnsi="Arial" w:cs="Arial"/>
          <w:sz w:val="18"/>
          <w:szCs w:val="18"/>
        </w:rPr>
        <w:t>ISSN</w:t>
      </w:r>
    </w:p>
    <w:p w:rsidR="00D42753" w:rsidRDefault="00D42753" w:rsidP="00D42753">
      <w:pPr>
        <w:numPr>
          <w:ilvl w:val="0"/>
          <w:numId w:val="17"/>
        </w:numPr>
        <w:shd w:val="clear" w:color="auto" w:fill="FFFFFF"/>
        <w:spacing w:after="75" w:line="312" w:lineRule="atLeast"/>
        <w:ind w:left="0"/>
        <w:rPr>
          <w:rFonts w:ascii="Arial" w:hAnsi="Arial" w:cs="Arial"/>
          <w:sz w:val="18"/>
          <w:szCs w:val="18"/>
        </w:rPr>
      </w:pPr>
      <w:r>
        <w:rPr>
          <w:rFonts w:ascii="Arial" w:hAnsi="Arial" w:cs="Arial"/>
          <w:sz w:val="18"/>
          <w:szCs w:val="18"/>
        </w:rPr>
        <w:t>ISSN-L 1799-0327, 1799-0335 (PDF) </w:t>
      </w:r>
    </w:p>
    <w:p w:rsidR="00D42753" w:rsidRDefault="00D42753" w:rsidP="00D42753">
      <w:pPr>
        <w:numPr>
          <w:ilvl w:val="0"/>
          <w:numId w:val="18"/>
        </w:numPr>
        <w:shd w:val="clear" w:color="auto" w:fill="FFFFFF"/>
        <w:spacing w:after="75" w:line="312" w:lineRule="atLeast"/>
        <w:ind w:left="0"/>
        <w:rPr>
          <w:rFonts w:ascii="Arial" w:hAnsi="Arial" w:cs="Arial"/>
          <w:sz w:val="18"/>
          <w:szCs w:val="18"/>
        </w:rPr>
      </w:pPr>
      <w:r>
        <w:rPr>
          <w:rFonts w:ascii="Arial" w:hAnsi="Arial" w:cs="Arial"/>
          <w:sz w:val="18"/>
          <w:szCs w:val="18"/>
        </w:rPr>
        <w:t>Language</w:t>
      </w:r>
    </w:p>
    <w:p w:rsidR="00D42753" w:rsidRDefault="00D42753" w:rsidP="00D42753">
      <w:pPr>
        <w:numPr>
          <w:ilvl w:val="0"/>
          <w:numId w:val="18"/>
        </w:numPr>
        <w:shd w:val="clear" w:color="auto" w:fill="FFFFFF"/>
        <w:spacing w:after="75" w:line="312" w:lineRule="atLeast"/>
        <w:ind w:left="0"/>
        <w:rPr>
          <w:rFonts w:ascii="Arial" w:hAnsi="Arial" w:cs="Arial"/>
          <w:sz w:val="18"/>
          <w:szCs w:val="18"/>
        </w:rPr>
      </w:pPr>
      <w:r>
        <w:rPr>
          <w:rFonts w:ascii="Arial" w:hAnsi="Arial" w:cs="Arial"/>
          <w:sz w:val="18"/>
          <w:szCs w:val="18"/>
        </w:rPr>
        <w:t>Finnish </w:t>
      </w:r>
    </w:p>
    <w:p w:rsidR="00D42753" w:rsidRDefault="00D42753" w:rsidP="00D42753">
      <w:pPr>
        <w:numPr>
          <w:ilvl w:val="0"/>
          <w:numId w:val="19"/>
        </w:numPr>
        <w:shd w:val="clear" w:color="auto" w:fill="FFFFFF"/>
        <w:spacing w:after="75" w:line="312" w:lineRule="atLeast"/>
        <w:ind w:left="0"/>
        <w:rPr>
          <w:rFonts w:ascii="Arial" w:hAnsi="Arial" w:cs="Arial"/>
          <w:sz w:val="18"/>
          <w:szCs w:val="18"/>
        </w:rPr>
      </w:pPr>
      <w:r>
        <w:rPr>
          <w:rFonts w:ascii="Arial" w:hAnsi="Arial" w:cs="Arial"/>
          <w:sz w:val="18"/>
          <w:szCs w:val="18"/>
        </w:rPr>
        <w:t xml:space="preserve">Subscriptions </w:t>
      </w:r>
    </w:p>
    <w:p w:rsidR="00D42753" w:rsidRDefault="00D42753" w:rsidP="00D42753">
      <w:pPr>
        <w:numPr>
          <w:ilvl w:val="0"/>
          <w:numId w:val="19"/>
        </w:numPr>
        <w:shd w:val="clear" w:color="auto" w:fill="FFFFFF"/>
        <w:spacing w:after="75" w:line="312" w:lineRule="atLeast"/>
        <w:ind w:left="0"/>
        <w:rPr>
          <w:rFonts w:ascii="Arial" w:hAnsi="Arial" w:cs="Arial"/>
          <w:sz w:val="18"/>
          <w:szCs w:val="18"/>
        </w:rPr>
      </w:pPr>
      <w:r>
        <w:rPr>
          <w:rFonts w:ascii="Arial" w:hAnsi="Arial" w:cs="Arial"/>
          <w:sz w:val="18"/>
          <w:szCs w:val="18"/>
        </w:rPr>
        <w:t>- </w:t>
      </w:r>
    </w:p>
    <w:p w:rsidR="00D42753" w:rsidRDefault="00D42753" w:rsidP="00D42753">
      <w:pPr>
        <w:numPr>
          <w:ilvl w:val="0"/>
          <w:numId w:val="20"/>
        </w:numPr>
        <w:shd w:val="clear" w:color="auto" w:fill="FFFFFF"/>
        <w:spacing w:after="75" w:line="312" w:lineRule="atLeast"/>
        <w:ind w:left="0"/>
        <w:rPr>
          <w:rFonts w:ascii="Arial" w:hAnsi="Arial" w:cs="Arial"/>
          <w:sz w:val="18"/>
          <w:szCs w:val="18"/>
        </w:rPr>
      </w:pPr>
      <w:r>
        <w:rPr>
          <w:rFonts w:ascii="Arial" w:hAnsi="Arial" w:cs="Arial"/>
          <w:sz w:val="18"/>
          <w:szCs w:val="18"/>
        </w:rPr>
        <w:t>Publisher</w:t>
      </w:r>
    </w:p>
    <w:p w:rsidR="00D42753" w:rsidRDefault="00D42753" w:rsidP="00D42753">
      <w:pPr>
        <w:numPr>
          <w:ilvl w:val="0"/>
          <w:numId w:val="20"/>
        </w:numPr>
        <w:shd w:val="clear" w:color="auto" w:fill="FFFFFF"/>
        <w:spacing w:after="75" w:line="312" w:lineRule="atLeast"/>
        <w:ind w:left="0"/>
        <w:rPr>
          <w:rFonts w:ascii="Arial" w:hAnsi="Arial" w:cs="Arial"/>
          <w:sz w:val="18"/>
          <w:szCs w:val="18"/>
        </w:rPr>
      </w:pPr>
      <w:r>
        <w:rPr>
          <w:rFonts w:ascii="Arial" w:hAnsi="Arial" w:cs="Arial"/>
          <w:sz w:val="18"/>
          <w:szCs w:val="18"/>
        </w:rPr>
        <w:t>Ministry of Education and Culture, Finland </w:t>
      </w:r>
    </w:p>
    <w:p w:rsidR="00D42753" w:rsidRDefault="007904D8" w:rsidP="00D42753">
      <w:pPr>
        <w:shd w:val="clear" w:color="auto" w:fill="FFFFFF"/>
        <w:spacing w:after="0" w:line="312" w:lineRule="atLeast"/>
        <w:rPr>
          <w:rFonts w:ascii="Arial" w:hAnsi="Arial" w:cs="Arial"/>
          <w:sz w:val="18"/>
          <w:szCs w:val="18"/>
        </w:rPr>
      </w:pPr>
      <w:hyperlink r:id="rId118" w:history="1">
        <w:r w:rsidR="00D42753">
          <w:rPr>
            <w:rFonts w:ascii="Arial" w:hAnsi="Arial" w:cs="Arial"/>
            <w:color w:val="8E6E43"/>
            <w:sz w:val="18"/>
            <w:szCs w:val="18"/>
            <w:u w:val="single"/>
          </w:rPr>
          <w:t>in Finnish</w:t>
        </w:r>
      </w:hyperlink>
      <w:r w:rsidR="00D42753">
        <w:rPr>
          <w:rStyle w:val="graytext2"/>
          <w:rFonts w:ascii="Arial" w:hAnsi="Arial" w:cs="Arial"/>
          <w:sz w:val="18"/>
          <w:szCs w:val="18"/>
        </w:rPr>
        <w:t xml:space="preserve"> (2260 kb)</w:t>
      </w:r>
      <w:r w:rsidR="00D42753">
        <w:rPr>
          <w:rFonts w:ascii="Arial" w:hAnsi="Arial" w:cs="Arial"/>
          <w:sz w:val="18"/>
          <w:szCs w:val="18"/>
        </w:rPr>
        <w:t xml:space="preserve"> </w:t>
      </w:r>
    </w:p>
    <w:p w:rsidR="00D42753" w:rsidRDefault="00D42753" w:rsidP="00D42753">
      <w:pPr>
        <w:shd w:val="clear" w:color="auto" w:fill="FFFFFF"/>
        <w:spacing w:after="150" w:line="288" w:lineRule="atLeast"/>
        <w:outlineLvl w:val="2"/>
        <w:rPr>
          <w:rFonts w:ascii="Verdana" w:hAnsi="Verdana" w:cs="Arial"/>
          <w:b/>
          <w:bCs/>
          <w:color w:val="65461B"/>
          <w:sz w:val="18"/>
          <w:szCs w:val="18"/>
        </w:rPr>
      </w:pPr>
    </w:p>
    <w:p w:rsidR="00D42753" w:rsidRDefault="00D42753" w:rsidP="00D42753">
      <w:pPr>
        <w:shd w:val="clear" w:color="auto" w:fill="FFFFFF"/>
        <w:spacing w:after="150" w:line="288" w:lineRule="atLeast"/>
        <w:outlineLvl w:val="2"/>
        <w:rPr>
          <w:rFonts w:ascii="Verdana" w:hAnsi="Verdana" w:cs="Arial"/>
          <w:b/>
          <w:bCs/>
          <w:color w:val="65461B"/>
          <w:sz w:val="18"/>
          <w:szCs w:val="18"/>
        </w:rPr>
      </w:pPr>
    </w:p>
    <w:p w:rsidR="00D42753" w:rsidRDefault="00D42753" w:rsidP="00D42753">
      <w:pPr>
        <w:shd w:val="clear" w:color="auto" w:fill="FFFFFF"/>
        <w:spacing w:after="150" w:line="288" w:lineRule="atLeast"/>
        <w:outlineLvl w:val="2"/>
        <w:rPr>
          <w:rFonts w:ascii="Verdana" w:hAnsi="Verdana" w:cs="Arial"/>
          <w:b/>
          <w:bCs/>
          <w:color w:val="65461B"/>
          <w:sz w:val="18"/>
          <w:szCs w:val="18"/>
        </w:rPr>
      </w:pPr>
    </w:p>
    <w:p w:rsidR="00D42753" w:rsidRDefault="00D42753" w:rsidP="00D42753">
      <w:pPr>
        <w:shd w:val="clear" w:color="auto" w:fill="FFFFFF"/>
        <w:spacing w:after="150" w:line="288" w:lineRule="atLeast"/>
        <w:outlineLvl w:val="2"/>
        <w:rPr>
          <w:rFonts w:ascii="Verdana" w:hAnsi="Verdana" w:cs="Arial"/>
          <w:b/>
          <w:bCs/>
          <w:color w:val="65461B"/>
          <w:sz w:val="18"/>
          <w:szCs w:val="18"/>
        </w:rPr>
      </w:pPr>
    </w:p>
    <w:p w:rsidR="00D42753" w:rsidRDefault="00D42753" w:rsidP="00D42753">
      <w:pPr>
        <w:shd w:val="clear" w:color="auto" w:fill="FFFFFF"/>
        <w:spacing w:after="150" w:line="288" w:lineRule="atLeast"/>
        <w:outlineLvl w:val="2"/>
        <w:rPr>
          <w:rFonts w:ascii="Verdana" w:hAnsi="Verdana" w:cs="Arial"/>
          <w:b/>
          <w:bCs/>
          <w:color w:val="65461B"/>
          <w:sz w:val="18"/>
          <w:szCs w:val="18"/>
        </w:rPr>
      </w:pPr>
    </w:p>
    <w:p w:rsidR="00D42753" w:rsidRDefault="00D42753" w:rsidP="00D42753">
      <w:pPr>
        <w:shd w:val="clear" w:color="auto" w:fill="FFFFFF"/>
        <w:spacing w:after="150" w:line="288" w:lineRule="atLeast"/>
        <w:outlineLvl w:val="2"/>
        <w:rPr>
          <w:rFonts w:ascii="Verdana" w:hAnsi="Verdana" w:cs="Arial"/>
          <w:b/>
          <w:bCs/>
          <w:color w:val="65461B"/>
          <w:sz w:val="18"/>
          <w:szCs w:val="18"/>
        </w:rPr>
      </w:pPr>
    </w:p>
    <w:p w:rsidR="00D42753" w:rsidRDefault="00D42753" w:rsidP="00D42753">
      <w:pPr>
        <w:shd w:val="clear" w:color="auto" w:fill="FFFFFF"/>
        <w:spacing w:after="150" w:line="288" w:lineRule="atLeast"/>
        <w:outlineLvl w:val="2"/>
        <w:rPr>
          <w:rFonts w:ascii="Verdana" w:hAnsi="Verdana" w:cs="Arial"/>
          <w:b/>
          <w:bCs/>
          <w:color w:val="65461B"/>
          <w:sz w:val="18"/>
          <w:szCs w:val="18"/>
        </w:rPr>
      </w:pPr>
    </w:p>
    <w:p w:rsidR="00D42753" w:rsidRDefault="00D42753" w:rsidP="00D42753">
      <w:pPr>
        <w:shd w:val="clear" w:color="auto" w:fill="FFFFFF"/>
        <w:spacing w:after="150" w:line="288" w:lineRule="atLeast"/>
        <w:outlineLvl w:val="2"/>
        <w:rPr>
          <w:rFonts w:ascii="Verdana" w:hAnsi="Verdana" w:cs="Arial"/>
          <w:b/>
          <w:bCs/>
          <w:color w:val="65461B"/>
          <w:sz w:val="18"/>
          <w:szCs w:val="18"/>
        </w:rPr>
      </w:pPr>
    </w:p>
    <w:p w:rsidR="00D42753" w:rsidRDefault="00D42753" w:rsidP="00D42753">
      <w:pPr>
        <w:shd w:val="clear" w:color="auto" w:fill="FFFFFF"/>
        <w:spacing w:after="150" w:line="288" w:lineRule="atLeast"/>
        <w:outlineLvl w:val="2"/>
        <w:rPr>
          <w:rFonts w:ascii="Verdana" w:hAnsi="Verdana" w:cs="Arial"/>
          <w:b/>
          <w:bCs/>
          <w:color w:val="65461B"/>
          <w:sz w:val="18"/>
          <w:szCs w:val="18"/>
        </w:rPr>
      </w:pPr>
      <w:r>
        <w:rPr>
          <w:rFonts w:ascii="Verdana" w:hAnsi="Verdana" w:cs="Arial"/>
          <w:b/>
          <w:bCs/>
          <w:color w:val="65461B"/>
          <w:sz w:val="18"/>
          <w:szCs w:val="18"/>
        </w:rPr>
        <w:t>Abstract</w:t>
      </w:r>
    </w:p>
    <w:p w:rsidR="00D42753" w:rsidRDefault="00D42753" w:rsidP="00D42753">
      <w:pPr>
        <w:shd w:val="clear" w:color="auto" w:fill="FFFFFF"/>
        <w:spacing w:after="0" w:line="312" w:lineRule="atLeast"/>
        <w:rPr>
          <w:rFonts w:ascii="Arial" w:hAnsi="Arial" w:cs="Arial"/>
          <w:sz w:val="18"/>
          <w:szCs w:val="18"/>
        </w:rPr>
      </w:pPr>
      <w:r>
        <w:rPr>
          <w:rFonts w:ascii="Arial" w:hAnsi="Arial" w:cs="Arial"/>
          <w:sz w:val="18"/>
          <w:szCs w:val="18"/>
        </w:rPr>
        <w:t>The Ministry of Education and Culture set up a working group on 8 March 2013 to formulate a proposal on strengthening the quality perspective of the financial items for research and education within the funding model for universities, so that the changes can be implemented when allocating basic funding for universities as specified in section 49(3) of the Universities Act (558/2009) in 2015.</w:t>
      </w:r>
    </w:p>
    <w:p w:rsidR="00D42753" w:rsidRDefault="00D42753" w:rsidP="00D42753">
      <w:pPr>
        <w:shd w:val="clear" w:color="auto" w:fill="FFFFFF"/>
        <w:spacing w:line="312" w:lineRule="atLeast"/>
        <w:rPr>
          <w:rFonts w:ascii="Arial" w:hAnsi="Arial" w:cs="Arial"/>
          <w:sz w:val="18"/>
          <w:szCs w:val="18"/>
        </w:rPr>
      </w:pPr>
      <w:r>
        <w:rPr>
          <w:rFonts w:ascii="Arial" w:hAnsi="Arial" w:cs="Arial"/>
          <w:sz w:val="18"/>
          <w:szCs w:val="18"/>
        </w:rPr>
        <w:t>To support the working group in developing the quality perspective in the financial contribution for education, a working group was established by UNIFI, whose task was to prepare mechanisms and plan the collection of student feedback. Plans for developing the financial contribution for research were carried out with the assistance of the Federation of Learned Societies in Finland (TVS), who produced a rating system for publications (publication forum), and statistical analyses produced by experts of the Ministry of Education and Culture and of the TVS.</w:t>
      </w:r>
    </w:p>
    <w:p w:rsidR="00D42753" w:rsidRDefault="00D42753" w:rsidP="00D42753">
      <w:pPr>
        <w:shd w:val="clear" w:color="auto" w:fill="FFFFFF"/>
        <w:spacing w:line="312" w:lineRule="atLeast"/>
        <w:rPr>
          <w:rFonts w:ascii="Arial" w:hAnsi="Arial" w:cs="Arial"/>
          <w:sz w:val="18"/>
          <w:szCs w:val="18"/>
        </w:rPr>
      </w:pPr>
      <w:r>
        <w:rPr>
          <w:rFonts w:ascii="Arial" w:hAnsi="Arial" w:cs="Arial"/>
          <w:sz w:val="18"/>
          <w:szCs w:val="18"/>
        </w:rPr>
        <w:t>To enhance the quality perspective in the section for education, the working group proposes that factors in the financial item for student feedback included in the funding model for universities as of 2015. From then onwards, 3% of state funding for universities would be based on student feedback from student surveys. The proposed number of questions in the surveys is 13.</w:t>
      </w:r>
    </w:p>
    <w:p w:rsidR="00D42753" w:rsidRDefault="00D42753" w:rsidP="00D42753">
      <w:pPr>
        <w:shd w:val="clear" w:color="auto" w:fill="FFFFFF"/>
        <w:spacing w:line="312" w:lineRule="atLeast"/>
        <w:rPr>
          <w:rFonts w:ascii="Arial" w:hAnsi="Arial" w:cs="Arial"/>
          <w:sz w:val="18"/>
          <w:szCs w:val="18"/>
        </w:rPr>
      </w:pPr>
      <w:r>
        <w:rPr>
          <w:rFonts w:ascii="Arial" w:hAnsi="Arial" w:cs="Arial"/>
          <w:sz w:val="18"/>
          <w:szCs w:val="18"/>
        </w:rPr>
        <w:t xml:space="preserve">It is proposed that the weight of the financial item related to shorter graduation periods for those who have completed at least 55 study points per academic year be raised by 1 percentage point, in line with the Government’s structural policy </w:t>
      </w:r>
      <w:proofErr w:type="spellStart"/>
      <w:r>
        <w:rPr>
          <w:rFonts w:ascii="Arial" w:hAnsi="Arial" w:cs="Arial"/>
          <w:sz w:val="18"/>
          <w:szCs w:val="18"/>
        </w:rPr>
        <w:t>programme</w:t>
      </w:r>
      <w:proofErr w:type="spellEnd"/>
      <w:r>
        <w:rPr>
          <w:rFonts w:ascii="Arial" w:hAnsi="Arial" w:cs="Arial"/>
          <w:sz w:val="18"/>
          <w:szCs w:val="18"/>
        </w:rPr>
        <w:t>, so that the contribution would amount to 12% of state funding for universities as of 2015.</w:t>
      </w:r>
    </w:p>
    <w:p w:rsidR="00D42753" w:rsidRDefault="00D42753" w:rsidP="00D42753">
      <w:pPr>
        <w:shd w:val="clear" w:color="auto" w:fill="FFFFFF"/>
        <w:spacing w:line="312" w:lineRule="atLeast"/>
        <w:rPr>
          <w:rFonts w:ascii="Arial" w:hAnsi="Arial" w:cs="Arial"/>
          <w:sz w:val="18"/>
          <w:szCs w:val="18"/>
        </w:rPr>
      </w:pPr>
      <w:r>
        <w:rPr>
          <w:rFonts w:ascii="Arial" w:hAnsi="Arial" w:cs="Arial"/>
          <w:sz w:val="18"/>
          <w:szCs w:val="18"/>
        </w:rPr>
        <w:t>It is proposed that the percentages of the financial items pending confirmation be deducted from financial items for Bachelor’s and Master’s degree resources, so that 6% of overall state funding for universities would be allocated on the basis of the number of Bachelor’s degrees (previously 9%) and 14% on the basis of Master’s degrees (previously 15%).</w:t>
      </w:r>
    </w:p>
    <w:p w:rsidR="00D42753" w:rsidRDefault="00D42753" w:rsidP="00D42753">
      <w:pPr>
        <w:shd w:val="clear" w:color="auto" w:fill="FFFFFF"/>
        <w:spacing w:line="312" w:lineRule="atLeast"/>
        <w:rPr>
          <w:rFonts w:ascii="Arial" w:hAnsi="Arial" w:cs="Arial"/>
          <w:sz w:val="18"/>
          <w:szCs w:val="18"/>
        </w:rPr>
      </w:pPr>
      <w:r>
        <w:rPr>
          <w:rFonts w:ascii="Arial" w:hAnsi="Arial" w:cs="Arial"/>
          <w:sz w:val="18"/>
          <w:szCs w:val="18"/>
        </w:rPr>
        <w:t>To strengthen the quality perspective in the research section of funding, the working group proposes that the publications rating system produced by the TVS be adopted as of 2015. It is proposed that The financial item of imputed publications (13%), which previously was divided into international refereed publications (9%) and other scientific publications (4%), be treated as a single item.</w:t>
      </w:r>
    </w:p>
    <w:p w:rsidR="00D42753" w:rsidRDefault="00D42753" w:rsidP="00D42753">
      <w:pPr>
        <w:shd w:val="clear" w:color="auto" w:fill="FFFFFF"/>
        <w:spacing w:line="312" w:lineRule="atLeast"/>
        <w:rPr>
          <w:rFonts w:ascii="Arial" w:hAnsi="Arial" w:cs="Arial"/>
          <w:sz w:val="18"/>
          <w:szCs w:val="18"/>
        </w:rPr>
      </w:pPr>
      <w:r>
        <w:rPr>
          <w:rFonts w:ascii="Arial" w:hAnsi="Arial" w:cs="Arial"/>
          <w:sz w:val="18"/>
          <w:szCs w:val="18"/>
        </w:rPr>
        <w:t>The publication ratings system devised by the publication forum would be used as a rating in the computation of funding so that the quality perspective would be strengthened over a transitional period of 2015-2016 and would be even more pronounced as of 2017. During the transitional period the rating of publications would be executed so that in Level 0 the coefficient for peer reviewed scientific articles and publications would be 1, in Level 1 it would be 1.5 and in Levels 2 and 3 it would be 3.</w:t>
      </w:r>
    </w:p>
    <w:p w:rsidR="00D42753" w:rsidRDefault="00D42753" w:rsidP="00D42753">
      <w:pPr>
        <w:shd w:val="clear" w:color="auto" w:fill="FFFFFF"/>
        <w:spacing w:line="312" w:lineRule="atLeast"/>
        <w:rPr>
          <w:rFonts w:ascii="Arial" w:hAnsi="Arial" w:cs="Arial"/>
          <w:sz w:val="18"/>
          <w:szCs w:val="18"/>
        </w:rPr>
      </w:pPr>
      <w:r>
        <w:rPr>
          <w:rFonts w:ascii="Arial" w:hAnsi="Arial" w:cs="Arial"/>
          <w:sz w:val="18"/>
          <w:szCs w:val="18"/>
        </w:rPr>
        <w:t>To bolster the social impact of publications, non-peer reviewed scientific papers, books and publications, publications designed for professional groups and publications intended for the general public would be rated using a coefficient of 0.1 in the calculation of funding, regardless of their Level in the publication forum.</w:t>
      </w:r>
    </w:p>
    <w:p w:rsidR="00100C0C" w:rsidRPr="00D42753" w:rsidRDefault="00100C0C">
      <w:pPr>
        <w:rPr>
          <w:b/>
          <w:sz w:val="32"/>
          <w:szCs w:val="32"/>
        </w:rPr>
      </w:pPr>
    </w:p>
    <w:p w:rsidR="00D42753" w:rsidRDefault="00D42753" w:rsidP="00D42753">
      <w:pPr>
        <w:jc w:val="center"/>
        <w:rPr>
          <w:b/>
          <w:sz w:val="32"/>
          <w:szCs w:val="32"/>
          <w:lang w:val="cs-CZ"/>
        </w:rPr>
      </w:pPr>
      <w:r>
        <w:rPr>
          <w:b/>
          <w:sz w:val="32"/>
          <w:szCs w:val="32"/>
          <w:lang w:val="cs-CZ"/>
        </w:rPr>
        <w:t xml:space="preserve">Finský vzdělávací systém – viz přiložený materiál v </w:t>
      </w:r>
      <w:proofErr w:type="spellStart"/>
      <w:r>
        <w:rPr>
          <w:b/>
          <w:sz w:val="32"/>
          <w:szCs w:val="32"/>
          <w:lang w:val="cs-CZ"/>
        </w:rPr>
        <w:t>pdf</w:t>
      </w:r>
      <w:proofErr w:type="spellEnd"/>
    </w:p>
    <w:p w:rsidR="00100C0C" w:rsidRDefault="007757F4" w:rsidP="00100C0C">
      <w:pPr>
        <w:jc w:val="center"/>
        <w:rPr>
          <w:b/>
          <w:sz w:val="32"/>
          <w:szCs w:val="32"/>
          <w:lang w:val="cs-CZ"/>
        </w:rPr>
      </w:pPr>
      <w:r>
        <w:rPr>
          <w:b/>
          <w:noProof/>
          <w:sz w:val="32"/>
          <w:szCs w:val="32"/>
          <w:lang w:val="cs-CZ" w:eastAsia="cs-CZ"/>
        </w:rPr>
        <w:drawing>
          <wp:inline distT="0" distB="0" distL="0" distR="0">
            <wp:extent cx="6452006" cy="5230368"/>
            <wp:effectExtent l="0" t="0" r="635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E4F8C1.tmp"/>
                    <pic:cNvPicPr/>
                  </pic:nvPicPr>
                  <pic:blipFill>
                    <a:blip r:embed="rId119">
                      <a:extLst>
                        <a:ext uri="{28A0092B-C50C-407E-A947-70E740481C1C}">
                          <a14:useLocalDpi xmlns:a14="http://schemas.microsoft.com/office/drawing/2010/main" val="0"/>
                        </a:ext>
                      </a:extLst>
                    </a:blip>
                    <a:stretch>
                      <a:fillRect/>
                    </a:stretch>
                  </pic:blipFill>
                  <pic:spPr>
                    <a:xfrm>
                      <a:off x="0" y="0"/>
                      <a:ext cx="6447948" cy="5227078"/>
                    </a:xfrm>
                    <a:prstGeom prst="rect">
                      <a:avLst/>
                    </a:prstGeom>
                  </pic:spPr>
                </pic:pic>
              </a:graphicData>
            </a:graphic>
          </wp:inline>
        </w:drawing>
      </w:r>
    </w:p>
    <w:p w:rsidR="007757F4" w:rsidRDefault="007757F4" w:rsidP="00100C0C">
      <w:pPr>
        <w:jc w:val="center"/>
        <w:rPr>
          <w:b/>
          <w:sz w:val="32"/>
          <w:szCs w:val="32"/>
          <w:lang w:val="cs-CZ"/>
        </w:rPr>
      </w:pPr>
    </w:p>
    <w:p w:rsidR="007757F4" w:rsidRDefault="007757F4" w:rsidP="00100C0C">
      <w:pPr>
        <w:jc w:val="center"/>
        <w:rPr>
          <w:b/>
          <w:sz w:val="32"/>
          <w:szCs w:val="32"/>
          <w:lang w:val="cs-CZ"/>
        </w:rPr>
      </w:pPr>
    </w:p>
    <w:p w:rsidR="007757F4" w:rsidRDefault="007757F4" w:rsidP="00100C0C">
      <w:pPr>
        <w:jc w:val="center"/>
        <w:rPr>
          <w:b/>
          <w:sz w:val="32"/>
          <w:szCs w:val="32"/>
          <w:lang w:val="cs-CZ"/>
        </w:rPr>
      </w:pPr>
    </w:p>
    <w:p w:rsidR="007757F4" w:rsidRDefault="007757F4" w:rsidP="00100C0C">
      <w:pPr>
        <w:jc w:val="center"/>
        <w:rPr>
          <w:b/>
          <w:sz w:val="32"/>
          <w:szCs w:val="32"/>
          <w:lang w:val="cs-CZ"/>
        </w:rPr>
      </w:pPr>
    </w:p>
    <w:p w:rsidR="00100C0C" w:rsidRPr="00D42753" w:rsidRDefault="00100C0C">
      <w:pPr>
        <w:rPr>
          <w:rFonts w:asciiTheme="majorHAnsi" w:eastAsiaTheme="majorEastAsia" w:hAnsiTheme="majorHAnsi" w:cstheme="majorBidi"/>
          <w:b/>
          <w:bCs/>
          <w:noProof/>
          <w:sz w:val="32"/>
          <w:szCs w:val="32"/>
          <w:lang w:val="cs-CZ"/>
        </w:rPr>
      </w:pPr>
    </w:p>
    <w:p w:rsidR="00100C0C" w:rsidRPr="00D42753" w:rsidRDefault="00100C0C">
      <w:pPr>
        <w:rPr>
          <w:rFonts w:asciiTheme="majorHAnsi" w:eastAsiaTheme="majorEastAsia" w:hAnsiTheme="majorHAnsi" w:cstheme="majorBidi"/>
          <w:b/>
          <w:bCs/>
          <w:noProof/>
          <w:sz w:val="32"/>
          <w:szCs w:val="32"/>
          <w:lang w:val="cs-CZ"/>
        </w:rPr>
      </w:pPr>
    </w:p>
    <w:p w:rsidR="00100C0C" w:rsidRPr="00D42753" w:rsidRDefault="00100C0C">
      <w:pPr>
        <w:rPr>
          <w:rFonts w:asciiTheme="majorHAnsi" w:eastAsiaTheme="majorEastAsia" w:hAnsiTheme="majorHAnsi" w:cstheme="majorBidi"/>
          <w:b/>
          <w:bCs/>
          <w:noProof/>
          <w:sz w:val="32"/>
          <w:szCs w:val="32"/>
          <w:lang w:val="cs-CZ"/>
        </w:rPr>
      </w:pPr>
    </w:p>
    <w:p w:rsidR="00100C0C" w:rsidRPr="00D42753" w:rsidRDefault="007757F4" w:rsidP="007757F4">
      <w:pPr>
        <w:jc w:val="center"/>
        <w:rPr>
          <w:rFonts w:asciiTheme="majorHAnsi" w:eastAsiaTheme="majorEastAsia" w:hAnsiTheme="majorHAnsi" w:cstheme="majorBidi"/>
          <w:b/>
          <w:bCs/>
          <w:noProof/>
          <w:sz w:val="32"/>
          <w:szCs w:val="32"/>
          <w:lang w:val="cs-CZ"/>
        </w:rPr>
      </w:pPr>
      <w:r>
        <w:rPr>
          <w:b/>
          <w:sz w:val="32"/>
          <w:szCs w:val="32"/>
          <w:lang w:val="cs-CZ"/>
        </w:rPr>
        <w:t>Finský vzdělávací systém – statistiky</w:t>
      </w:r>
    </w:p>
    <w:p w:rsidR="00CF7719" w:rsidRDefault="007757F4" w:rsidP="00100C0C">
      <w:pPr>
        <w:pStyle w:val="Nadpis1"/>
        <w:rPr>
          <w:color w:val="auto"/>
          <w:sz w:val="32"/>
          <w:szCs w:val="32"/>
          <w:lang w:val="cs-CZ"/>
        </w:rPr>
      </w:pPr>
      <w:r>
        <w:rPr>
          <w:noProof/>
          <w:color w:val="auto"/>
          <w:sz w:val="32"/>
          <w:szCs w:val="32"/>
          <w:lang w:val="cs-CZ" w:eastAsia="cs-CZ"/>
        </w:rPr>
        <w:drawing>
          <wp:inline distT="0" distB="0" distL="0" distR="0">
            <wp:extent cx="6250789" cy="536204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E4647F.tmp"/>
                    <pic:cNvPicPr/>
                  </pic:nvPicPr>
                  <pic:blipFill>
                    <a:blip r:embed="rId120">
                      <a:extLst>
                        <a:ext uri="{28A0092B-C50C-407E-A947-70E740481C1C}">
                          <a14:useLocalDpi xmlns:a14="http://schemas.microsoft.com/office/drawing/2010/main" val="0"/>
                        </a:ext>
                      </a:extLst>
                    </a:blip>
                    <a:stretch>
                      <a:fillRect/>
                    </a:stretch>
                  </pic:blipFill>
                  <pic:spPr>
                    <a:xfrm>
                      <a:off x="0" y="0"/>
                      <a:ext cx="6250562" cy="5361847"/>
                    </a:xfrm>
                    <a:prstGeom prst="rect">
                      <a:avLst/>
                    </a:prstGeom>
                  </pic:spPr>
                </pic:pic>
              </a:graphicData>
            </a:graphic>
          </wp:inline>
        </w:drawing>
      </w:r>
    </w:p>
    <w:p w:rsidR="000C3CD9" w:rsidRDefault="000C3CD9">
      <w:pPr>
        <w:rPr>
          <w:lang w:val="cs-CZ"/>
        </w:rPr>
      </w:pPr>
      <w:r>
        <w:rPr>
          <w:lang w:val="cs-CZ"/>
        </w:rPr>
        <w:br w:type="page"/>
      </w:r>
    </w:p>
    <w:sectPr w:rsidR="000C3CD9">
      <w:headerReference w:type="even" r:id="rId121"/>
      <w:headerReference w:type="default" r:id="rId122"/>
      <w:footerReference w:type="even" r:id="rId123"/>
      <w:footerReference w:type="default" r:id="rId124"/>
      <w:headerReference w:type="first" r:id="rId125"/>
      <w:footerReference w:type="first" r:id="rId12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04D8" w:rsidRDefault="007904D8" w:rsidP="009819EB">
      <w:pPr>
        <w:spacing w:after="0" w:line="240" w:lineRule="auto"/>
      </w:pPr>
      <w:r>
        <w:separator/>
      </w:r>
    </w:p>
  </w:endnote>
  <w:endnote w:type="continuationSeparator" w:id="0">
    <w:p w:rsidR="007904D8" w:rsidRDefault="007904D8" w:rsidP="009819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19EB" w:rsidRDefault="009819EB">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19EB" w:rsidRDefault="009819EB">
    <w:pPr>
      <w:pStyle w:val="Zpat"/>
    </w:pPr>
    <w:r>
      <w:rPr>
        <w:noProof/>
        <w:color w:val="5F5F5F"/>
        <w:sz w:val="18"/>
        <w:lang w:val="cs-CZ" w:eastAsia="cs-CZ"/>
      </w:rPr>
      <w:drawing>
        <wp:anchor distT="0" distB="0" distL="114300" distR="114300" simplePos="0" relativeHeight="251659264" behindDoc="1" locked="0" layoutInCell="1" allowOverlap="1" wp14:anchorId="49D556AC" wp14:editId="186AD75C">
          <wp:simplePos x="0" y="0"/>
          <wp:positionH relativeFrom="column">
            <wp:posOffset>891540</wp:posOffset>
          </wp:positionH>
          <wp:positionV relativeFrom="paragraph">
            <wp:posOffset>-281940</wp:posOffset>
          </wp:positionV>
          <wp:extent cx="3495040" cy="770890"/>
          <wp:effectExtent l="19050" t="0" r="0" b="0"/>
          <wp:wrapNone/>
          <wp:docPr id="7" name="obrázek 2" descr="..\OPVK_hor_zakladni_logolink_CB_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PVK_hor_zakladni_logolink_CB_cz.jpg"/>
                  <pic:cNvPicPr>
                    <a:picLocks noChangeAspect="1" noChangeArrowheads="1"/>
                  </pic:cNvPicPr>
                </pic:nvPicPr>
                <pic:blipFill>
                  <a:blip r:embed="rId1"/>
                  <a:stretch>
                    <a:fillRect/>
                  </a:stretch>
                </pic:blipFill>
                <pic:spPr bwMode="auto">
                  <a:xfrm>
                    <a:off x="0" y="0"/>
                    <a:ext cx="3495040" cy="770890"/>
                  </a:xfrm>
                  <a:prstGeom prst="rect">
                    <a:avLst/>
                  </a:prstGeom>
                  <a:noFill/>
                  <a:ln w="9525">
                    <a:noFill/>
                    <a:miter lim="800000"/>
                    <a:headEnd/>
                    <a:tailEnd/>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19EB" w:rsidRDefault="009819EB">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04D8" w:rsidRDefault="007904D8" w:rsidP="009819EB">
      <w:pPr>
        <w:spacing w:after="0" w:line="240" w:lineRule="auto"/>
      </w:pPr>
      <w:r>
        <w:separator/>
      </w:r>
    </w:p>
  </w:footnote>
  <w:footnote w:type="continuationSeparator" w:id="0">
    <w:p w:rsidR="007904D8" w:rsidRDefault="007904D8" w:rsidP="009819E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19EB" w:rsidRDefault="009819EB">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19EB" w:rsidRDefault="009819EB">
    <w:pPr>
      <w:pStyle w:val="Zhlav"/>
    </w:pPr>
    <w:r>
      <w:ptab w:relativeTo="margin" w:alignment="center" w:leader="none"/>
    </w:r>
    <w:r>
      <w:rPr>
        <w:rFonts w:ascii="Arial" w:hAnsi="Arial" w:cs="Arial"/>
        <w:noProof/>
        <w:color w:val="5F5F5F"/>
        <w:lang w:val="cs-CZ" w:eastAsia="cs-CZ"/>
      </w:rPr>
      <w:drawing>
        <wp:inline distT="0" distB="0" distL="0" distR="0" wp14:anchorId="568D08D3" wp14:editId="7B9860A3">
          <wp:extent cx="2047185" cy="599388"/>
          <wp:effectExtent l="19050" t="0" r="0" b="0"/>
          <wp:docPr id="6" name="obrázek 1" descr="LOGO IPN pro hl_P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IPN pro hl_PAP.jpg"/>
                  <pic:cNvPicPr>
                    <a:picLocks noChangeAspect="1" noChangeArrowheads="1"/>
                  </pic:cNvPicPr>
                </pic:nvPicPr>
                <pic:blipFill>
                  <a:blip r:embed="rId1"/>
                  <a:stretch>
                    <a:fillRect/>
                  </a:stretch>
                </pic:blipFill>
                <pic:spPr bwMode="auto">
                  <a:xfrm>
                    <a:off x="0" y="0"/>
                    <a:ext cx="2047185" cy="599388"/>
                  </a:xfrm>
                  <a:prstGeom prst="rect">
                    <a:avLst/>
                  </a:prstGeom>
                  <a:noFill/>
                  <a:ln w="9525">
                    <a:noFill/>
                    <a:miter lim="800000"/>
                    <a:headEnd/>
                    <a:tailEnd/>
                  </a:ln>
                </pic:spPr>
              </pic:pic>
            </a:graphicData>
          </a:graphic>
        </wp:inline>
      </w:drawing>
    </w:r>
    <w:r>
      <w:ptab w:relativeTo="margin" w:alignment="right" w:leader="none"/>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19EB" w:rsidRDefault="009819EB">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5529B3"/>
    <w:multiLevelType w:val="multilevel"/>
    <w:tmpl w:val="C422E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266D83"/>
    <w:multiLevelType w:val="multilevel"/>
    <w:tmpl w:val="F72881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D75A83"/>
    <w:multiLevelType w:val="multilevel"/>
    <w:tmpl w:val="4802D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F852133"/>
    <w:multiLevelType w:val="multilevel"/>
    <w:tmpl w:val="9CB8C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FF01D4E"/>
    <w:multiLevelType w:val="multilevel"/>
    <w:tmpl w:val="BDDAC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14F46CB"/>
    <w:multiLevelType w:val="multilevel"/>
    <w:tmpl w:val="2DCE8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3A6F2A"/>
    <w:multiLevelType w:val="multilevel"/>
    <w:tmpl w:val="B6F43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4FB15ED"/>
    <w:multiLevelType w:val="multilevel"/>
    <w:tmpl w:val="BD26FA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68F102B"/>
    <w:multiLevelType w:val="multilevel"/>
    <w:tmpl w:val="05C6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7936123"/>
    <w:multiLevelType w:val="multilevel"/>
    <w:tmpl w:val="A5182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9642070"/>
    <w:multiLevelType w:val="multilevel"/>
    <w:tmpl w:val="22043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A1526D4"/>
    <w:multiLevelType w:val="multilevel"/>
    <w:tmpl w:val="B30200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5FC43C8"/>
    <w:multiLevelType w:val="multilevel"/>
    <w:tmpl w:val="01C2A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EC258AA"/>
    <w:multiLevelType w:val="multilevel"/>
    <w:tmpl w:val="992A8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04026A9"/>
    <w:multiLevelType w:val="multilevel"/>
    <w:tmpl w:val="B70E3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0CA4711"/>
    <w:multiLevelType w:val="multilevel"/>
    <w:tmpl w:val="457289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3386E62"/>
    <w:multiLevelType w:val="multilevel"/>
    <w:tmpl w:val="D72C2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5645626"/>
    <w:multiLevelType w:val="multilevel"/>
    <w:tmpl w:val="8C4E2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1C10CBB"/>
    <w:multiLevelType w:val="multilevel"/>
    <w:tmpl w:val="05443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D1B1379"/>
    <w:multiLevelType w:val="multilevel"/>
    <w:tmpl w:val="9F0E7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E151A7C"/>
    <w:multiLevelType w:val="multilevel"/>
    <w:tmpl w:val="6F64DB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4607E09"/>
    <w:multiLevelType w:val="multilevel"/>
    <w:tmpl w:val="E1B2F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AA761EC"/>
    <w:multiLevelType w:val="multilevel"/>
    <w:tmpl w:val="D338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E690B78"/>
    <w:multiLevelType w:val="multilevel"/>
    <w:tmpl w:val="5F28FB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F4D1FCB"/>
    <w:multiLevelType w:val="multilevel"/>
    <w:tmpl w:val="CB4A6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43C5FF6"/>
    <w:multiLevelType w:val="multilevel"/>
    <w:tmpl w:val="44723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D601F3E"/>
    <w:multiLevelType w:val="multilevel"/>
    <w:tmpl w:val="82324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19"/>
  </w:num>
  <w:num w:numId="3">
    <w:abstractNumId w:val="24"/>
  </w:num>
  <w:num w:numId="4">
    <w:abstractNumId w:val="18"/>
  </w:num>
  <w:num w:numId="5">
    <w:abstractNumId w:val="10"/>
  </w:num>
  <w:num w:numId="6">
    <w:abstractNumId w:val="26"/>
  </w:num>
  <w:num w:numId="7">
    <w:abstractNumId w:val="9"/>
  </w:num>
  <w:num w:numId="8">
    <w:abstractNumId w:val="6"/>
  </w:num>
  <w:num w:numId="9">
    <w:abstractNumId w:val="8"/>
  </w:num>
  <w:num w:numId="10">
    <w:abstractNumId w:val="2"/>
  </w:num>
  <w:num w:numId="11">
    <w:abstractNumId w:val="22"/>
  </w:num>
  <w:num w:numId="12">
    <w:abstractNumId w:val="21"/>
  </w:num>
  <w:num w:numId="13">
    <w:abstractNumId w:val="16"/>
  </w:num>
  <w:num w:numId="14">
    <w:abstractNumId w:val="5"/>
  </w:num>
  <w:num w:numId="15">
    <w:abstractNumId w:val="13"/>
  </w:num>
  <w:num w:numId="16">
    <w:abstractNumId w:val="12"/>
  </w:num>
  <w:num w:numId="17">
    <w:abstractNumId w:val="3"/>
  </w:num>
  <w:num w:numId="18">
    <w:abstractNumId w:val="0"/>
  </w:num>
  <w:num w:numId="19">
    <w:abstractNumId w:val="25"/>
  </w:num>
  <w:num w:numId="20">
    <w:abstractNumId w:val="4"/>
  </w:num>
  <w:num w:numId="21">
    <w:abstractNumId w:val="7"/>
  </w:num>
  <w:num w:numId="22">
    <w:abstractNumId w:val="1"/>
  </w:num>
  <w:num w:numId="23">
    <w:abstractNumId w:val="20"/>
  </w:num>
  <w:num w:numId="24">
    <w:abstractNumId w:val="11"/>
  </w:num>
  <w:num w:numId="25">
    <w:abstractNumId w:val="23"/>
  </w:num>
  <w:num w:numId="26">
    <w:abstractNumId w:val="15"/>
  </w:num>
  <w:num w:numId="2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002"/>
    <w:rsid w:val="00030355"/>
    <w:rsid w:val="000C3CD9"/>
    <w:rsid w:val="000E4CEA"/>
    <w:rsid w:val="00100C0C"/>
    <w:rsid w:val="002C46AA"/>
    <w:rsid w:val="00313EDD"/>
    <w:rsid w:val="0039629B"/>
    <w:rsid w:val="004233ED"/>
    <w:rsid w:val="005A0589"/>
    <w:rsid w:val="007757F4"/>
    <w:rsid w:val="007904D8"/>
    <w:rsid w:val="007B41C8"/>
    <w:rsid w:val="008F48AA"/>
    <w:rsid w:val="009819EB"/>
    <w:rsid w:val="009E411B"/>
    <w:rsid w:val="00AB2346"/>
    <w:rsid w:val="00AB595B"/>
    <w:rsid w:val="00B32F40"/>
    <w:rsid w:val="00B37002"/>
    <w:rsid w:val="00C43A0C"/>
    <w:rsid w:val="00C9745E"/>
    <w:rsid w:val="00CF7719"/>
    <w:rsid w:val="00D13F98"/>
    <w:rsid w:val="00D35738"/>
    <w:rsid w:val="00D42753"/>
    <w:rsid w:val="00EA25C0"/>
    <w:rsid w:val="00FA0650"/>
    <w:rsid w:val="00FA499A"/>
    <w:rsid w:val="00FE19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B2BDDB2-B928-4CD4-A9B5-7C8406D32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Pr>
      <w:lang w:val="en-US"/>
    </w:rPr>
  </w:style>
  <w:style w:type="paragraph" w:styleId="Nadpis1">
    <w:name w:val="heading 1"/>
    <w:basedOn w:val="Normln"/>
    <w:next w:val="Normln"/>
    <w:link w:val="Nadpis1Char"/>
    <w:uiPriority w:val="9"/>
    <w:qFormat/>
    <w:rsid w:val="00100C0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unhideWhenUsed/>
    <w:qFormat/>
    <w:rsid w:val="009819E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dpis5">
    <w:name w:val="heading 5"/>
    <w:basedOn w:val="Normln"/>
    <w:link w:val="Nadpis5Char"/>
    <w:uiPriority w:val="9"/>
    <w:qFormat/>
    <w:rsid w:val="00CF7719"/>
    <w:pPr>
      <w:spacing w:before="100" w:beforeAutospacing="1" w:after="100" w:afterAutospacing="1" w:line="240" w:lineRule="auto"/>
      <w:outlineLvl w:val="4"/>
    </w:pPr>
    <w:rPr>
      <w:rFonts w:ascii="Times New Roman" w:eastAsia="Times New Roman" w:hAnsi="Times New Roman" w:cs="Times New Roman"/>
      <w:b/>
      <w:bCs/>
      <w:sz w:val="20"/>
      <w:szCs w:val="20"/>
      <w:lang w:val="en-G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unhideWhenUsed/>
    <w:rsid w:val="00B37002"/>
    <w:rPr>
      <w:color w:val="0000FF" w:themeColor="hyperlink"/>
      <w:u w:val="single"/>
    </w:rPr>
  </w:style>
  <w:style w:type="character" w:styleId="Sledovanodkaz">
    <w:name w:val="FollowedHyperlink"/>
    <w:basedOn w:val="Standardnpsmoodstavce"/>
    <w:uiPriority w:val="99"/>
    <w:semiHidden/>
    <w:unhideWhenUsed/>
    <w:rsid w:val="00C43A0C"/>
    <w:rPr>
      <w:color w:val="800080" w:themeColor="followedHyperlink"/>
      <w:u w:val="single"/>
    </w:rPr>
  </w:style>
  <w:style w:type="paragraph" w:styleId="Textbubliny">
    <w:name w:val="Balloon Text"/>
    <w:basedOn w:val="Normln"/>
    <w:link w:val="TextbublinyChar"/>
    <w:uiPriority w:val="99"/>
    <w:semiHidden/>
    <w:unhideWhenUsed/>
    <w:rsid w:val="00C43A0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43A0C"/>
    <w:rPr>
      <w:rFonts w:ascii="Tahoma" w:hAnsi="Tahoma" w:cs="Tahoma"/>
      <w:sz w:val="16"/>
      <w:szCs w:val="16"/>
      <w:lang w:val="en-US"/>
    </w:rPr>
  </w:style>
  <w:style w:type="character" w:customStyle="1" w:styleId="ingres1">
    <w:name w:val="ingres1"/>
    <w:basedOn w:val="Standardnpsmoodstavce"/>
    <w:rsid w:val="00CF7719"/>
    <w:rPr>
      <w:b/>
      <w:bCs/>
    </w:rPr>
  </w:style>
  <w:style w:type="character" w:styleId="Zdraznn">
    <w:name w:val="Emphasis"/>
    <w:basedOn w:val="Standardnpsmoodstavce"/>
    <w:uiPriority w:val="20"/>
    <w:qFormat/>
    <w:rsid w:val="00CF7719"/>
    <w:rPr>
      <w:i/>
      <w:iCs/>
    </w:rPr>
  </w:style>
  <w:style w:type="character" w:styleId="Siln">
    <w:name w:val="Strong"/>
    <w:basedOn w:val="Standardnpsmoodstavce"/>
    <w:uiPriority w:val="22"/>
    <w:qFormat/>
    <w:rsid w:val="00CF7719"/>
    <w:rPr>
      <w:b/>
      <w:bCs/>
    </w:rPr>
  </w:style>
  <w:style w:type="character" w:customStyle="1" w:styleId="Nadpis5Char">
    <w:name w:val="Nadpis 5 Char"/>
    <w:basedOn w:val="Standardnpsmoodstavce"/>
    <w:link w:val="Nadpis5"/>
    <w:uiPriority w:val="9"/>
    <w:rsid w:val="00CF7719"/>
    <w:rPr>
      <w:rFonts w:ascii="Times New Roman" w:eastAsia="Times New Roman" w:hAnsi="Times New Roman" w:cs="Times New Roman"/>
      <w:b/>
      <w:bCs/>
      <w:sz w:val="20"/>
      <w:szCs w:val="20"/>
    </w:rPr>
  </w:style>
  <w:style w:type="paragraph" w:styleId="Normlnweb">
    <w:name w:val="Normal (Web)"/>
    <w:basedOn w:val="Normln"/>
    <w:uiPriority w:val="99"/>
    <w:semiHidden/>
    <w:unhideWhenUsed/>
    <w:rsid w:val="00CF7719"/>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normaltext">
    <w:name w:val="normaltext"/>
    <w:basedOn w:val="Normln"/>
    <w:rsid w:val="00CF7719"/>
    <w:pPr>
      <w:spacing w:before="100" w:beforeAutospacing="1" w:after="100" w:afterAutospacing="1" w:line="240" w:lineRule="auto"/>
    </w:pPr>
    <w:rPr>
      <w:rFonts w:ascii="Times New Roman" w:eastAsia="Times New Roman" w:hAnsi="Times New Roman" w:cs="Times New Roman"/>
      <w:sz w:val="24"/>
      <w:szCs w:val="24"/>
      <w:lang w:val="en-GB"/>
    </w:rPr>
  </w:style>
  <w:style w:type="paragraph" w:styleId="Nzev">
    <w:name w:val="Title"/>
    <w:basedOn w:val="Normln"/>
    <w:next w:val="Normln"/>
    <w:link w:val="NzevChar"/>
    <w:uiPriority w:val="10"/>
    <w:qFormat/>
    <w:rsid w:val="00100C0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100C0C"/>
    <w:rPr>
      <w:rFonts w:asciiTheme="majorHAnsi" w:eastAsiaTheme="majorEastAsia" w:hAnsiTheme="majorHAnsi" w:cstheme="majorBidi"/>
      <w:color w:val="17365D" w:themeColor="text2" w:themeShade="BF"/>
      <w:spacing w:val="5"/>
      <w:kern w:val="28"/>
      <w:sz w:val="52"/>
      <w:szCs w:val="52"/>
      <w:lang w:val="en-US"/>
    </w:rPr>
  </w:style>
  <w:style w:type="character" w:customStyle="1" w:styleId="Nadpis1Char">
    <w:name w:val="Nadpis 1 Char"/>
    <w:basedOn w:val="Standardnpsmoodstavce"/>
    <w:link w:val="Nadpis1"/>
    <w:uiPriority w:val="9"/>
    <w:rsid w:val="00100C0C"/>
    <w:rPr>
      <w:rFonts w:asciiTheme="majorHAnsi" w:eastAsiaTheme="majorEastAsia" w:hAnsiTheme="majorHAnsi" w:cstheme="majorBidi"/>
      <w:b/>
      <w:bCs/>
      <w:color w:val="365F91" w:themeColor="accent1" w:themeShade="BF"/>
      <w:sz w:val="28"/>
      <w:szCs w:val="28"/>
      <w:lang w:val="en-US"/>
    </w:rPr>
  </w:style>
  <w:style w:type="character" w:customStyle="1" w:styleId="s">
    <w:name w:val="s"/>
    <w:basedOn w:val="Standardnpsmoodstavce"/>
    <w:rsid w:val="00100C0C"/>
  </w:style>
  <w:style w:type="character" w:customStyle="1" w:styleId="link-disabled">
    <w:name w:val="link-disabled"/>
    <w:basedOn w:val="Standardnpsmoodstavce"/>
    <w:rsid w:val="00100C0C"/>
  </w:style>
  <w:style w:type="character" w:customStyle="1" w:styleId="graytext2">
    <w:name w:val="gray_text2"/>
    <w:basedOn w:val="Standardnpsmoodstavce"/>
    <w:rsid w:val="00D42753"/>
    <w:rPr>
      <w:color w:val="000000"/>
    </w:rPr>
  </w:style>
  <w:style w:type="character" w:customStyle="1" w:styleId="addthistoolbox2">
    <w:name w:val="addthis_toolbox2"/>
    <w:basedOn w:val="Standardnpsmoodstavce"/>
    <w:rsid w:val="002C46AA"/>
  </w:style>
  <w:style w:type="character" w:customStyle="1" w:styleId="ata11y">
    <w:name w:val="at_a11y"/>
    <w:basedOn w:val="Standardnpsmoodstavce"/>
    <w:rsid w:val="002C46AA"/>
  </w:style>
  <w:style w:type="character" w:customStyle="1" w:styleId="Nadpis2Char">
    <w:name w:val="Nadpis 2 Char"/>
    <w:basedOn w:val="Standardnpsmoodstavce"/>
    <w:link w:val="Nadpis2"/>
    <w:uiPriority w:val="9"/>
    <w:rsid w:val="009819EB"/>
    <w:rPr>
      <w:rFonts w:asciiTheme="majorHAnsi" w:eastAsiaTheme="majorEastAsia" w:hAnsiTheme="majorHAnsi" w:cstheme="majorBidi"/>
      <w:color w:val="365F91" w:themeColor="accent1" w:themeShade="BF"/>
      <w:sz w:val="26"/>
      <w:szCs w:val="26"/>
      <w:lang w:val="en-US"/>
    </w:rPr>
  </w:style>
  <w:style w:type="paragraph" w:styleId="Zhlav">
    <w:name w:val="header"/>
    <w:basedOn w:val="Normln"/>
    <w:link w:val="ZhlavChar"/>
    <w:uiPriority w:val="99"/>
    <w:unhideWhenUsed/>
    <w:rsid w:val="009819EB"/>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819EB"/>
    <w:rPr>
      <w:lang w:val="en-US"/>
    </w:rPr>
  </w:style>
  <w:style w:type="paragraph" w:styleId="Zpat">
    <w:name w:val="footer"/>
    <w:basedOn w:val="Normln"/>
    <w:link w:val="ZpatChar"/>
    <w:uiPriority w:val="99"/>
    <w:unhideWhenUsed/>
    <w:rsid w:val="009819EB"/>
    <w:pPr>
      <w:tabs>
        <w:tab w:val="center" w:pos="4536"/>
        <w:tab w:val="right" w:pos="9072"/>
      </w:tabs>
      <w:spacing w:after="0" w:line="240" w:lineRule="auto"/>
    </w:pPr>
  </w:style>
  <w:style w:type="character" w:customStyle="1" w:styleId="ZpatChar">
    <w:name w:val="Zápatí Char"/>
    <w:basedOn w:val="Standardnpsmoodstavce"/>
    <w:link w:val="Zpat"/>
    <w:uiPriority w:val="99"/>
    <w:rsid w:val="009819EB"/>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641397">
      <w:bodyDiv w:val="1"/>
      <w:marLeft w:val="0"/>
      <w:marRight w:val="0"/>
      <w:marTop w:val="0"/>
      <w:marBottom w:val="0"/>
      <w:divBdr>
        <w:top w:val="none" w:sz="0" w:space="0" w:color="auto"/>
        <w:left w:val="none" w:sz="0" w:space="0" w:color="auto"/>
        <w:bottom w:val="none" w:sz="0" w:space="0" w:color="auto"/>
        <w:right w:val="none" w:sz="0" w:space="0" w:color="auto"/>
      </w:divBdr>
      <w:divsChild>
        <w:div w:id="1488397385">
          <w:marLeft w:val="0"/>
          <w:marRight w:val="0"/>
          <w:marTop w:val="0"/>
          <w:marBottom w:val="0"/>
          <w:divBdr>
            <w:top w:val="none" w:sz="0" w:space="0" w:color="auto"/>
            <w:left w:val="none" w:sz="0" w:space="0" w:color="auto"/>
            <w:bottom w:val="none" w:sz="0" w:space="0" w:color="auto"/>
            <w:right w:val="none" w:sz="0" w:space="0" w:color="auto"/>
          </w:divBdr>
          <w:divsChild>
            <w:div w:id="344015869">
              <w:marLeft w:val="0"/>
              <w:marRight w:val="0"/>
              <w:marTop w:val="0"/>
              <w:marBottom w:val="0"/>
              <w:divBdr>
                <w:top w:val="none" w:sz="0" w:space="0" w:color="auto"/>
                <w:left w:val="none" w:sz="0" w:space="0" w:color="auto"/>
                <w:bottom w:val="none" w:sz="0" w:space="0" w:color="auto"/>
                <w:right w:val="none" w:sz="0" w:space="0" w:color="auto"/>
              </w:divBdr>
              <w:divsChild>
                <w:div w:id="527303057">
                  <w:marLeft w:val="0"/>
                  <w:marRight w:val="0"/>
                  <w:marTop w:val="0"/>
                  <w:marBottom w:val="0"/>
                  <w:divBdr>
                    <w:top w:val="none" w:sz="0" w:space="0" w:color="auto"/>
                    <w:left w:val="none" w:sz="0" w:space="0" w:color="auto"/>
                    <w:bottom w:val="none" w:sz="0" w:space="0" w:color="auto"/>
                    <w:right w:val="none" w:sz="0" w:space="0" w:color="auto"/>
                  </w:divBdr>
                  <w:divsChild>
                    <w:div w:id="434791065">
                      <w:marLeft w:val="0"/>
                      <w:marRight w:val="0"/>
                      <w:marTop w:val="0"/>
                      <w:marBottom w:val="0"/>
                      <w:divBdr>
                        <w:top w:val="none" w:sz="0" w:space="0" w:color="auto"/>
                        <w:left w:val="none" w:sz="0" w:space="0" w:color="auto"/>
                        <w:bottom w:val="none" w:sz="0" w:space="0" w:color="auto"/>
                        <w:right w:val="none" w:sz="0" w:space="0" w:color="auto"/>
                      </w:divBdr>
                      <w:divsChild>
                        <w:div w:id="826671438">
                          <w:marLeft w:val="0"/>
                          <w:marRight w:val="0"/>
                          <w:marTop w:val="0"/>
                          <w:marBottom w:val="0"/>
                          <w:divBdr>
                            <w:top w:val="none" w:sz="0" w:space="0" w:color="auto"/>
                            <w:left w:val="none" w:sz="0" w:space="0" w:color="auto"/>
                            <w:bottom w:val="none" w:sz="0" w:space="0" w:color="auto"/>
                            <w:right w:val="none" w:sz="0" w:space="0" w:color="auto"/>
                          </w:divBdr>
                          <w:divsChild>
                            <w:div w:id="1604729571">
                              <w:marLeft w:val="0"/>
                              <w:marRight w:val="0"/>
                              <w:marTop w:val="0"/>
                              <w:marBottom w:val="0"/>
                              <w:divBdr>
                                <w:top w:val="none" w:sz="0" w:space="0" w:color="auto"/>
                                <w:left w:val="none" w:sz="0" w:space="0" w:color="auto"/>
                                <w:bottom w:val="none" w:sz="0" w:space="0" w:color="auto"/>
                                <w:right w:val="none" w:sz="0" w:space="0" w:color="auto"/>
                              </w:divBdr>
                              <w:divsChild>
                                <w:div w:id="1478180244">
                                  <w:marLeft w:val="0"/>
                                  <w:marRight w:val="0"/>
                                  <w:marTop w:val="0"/>
                                  <w:marBottom w:val="0"/>
                                  <w:divBdr>
                                    <w:top w:val="none" w:sz="0" w:space="0" w:color="auto"/>
                                    <w:left w:val="none" w:sz="0" w:space="0" w:color="auto"/>
                                    <w:bottom w:val="none" w:sz="0" w:space="0" w:color="auto"/>
                                    <w:right w:val="none" w:sz="0" w:space="0" w:color="auto"/>
                                  </w:divBdr>
                                  <w:divsChild>
                                    <w:div w:id="2137410304">
                                      <w:marLeft w:val="0"/>
                                      <w:marRight w:val="0"/>
                                      <w:marTop w:val="0"/>
                                      <w:marBottom w:val="0"/>
                                      <w:divBdr>
                                        <w:top w:val="none" w:sz="0" w:space="0" w:color="auto"/>
                                        <w:left w:val="none" w:sz="0" w:space="0" w:color="auto"/>
                                        <w:bottom w:val="none" w:sz="0" w:space="0" w:color="auto"/>
                                        <w:right w:val="none" w:sz="0" w:space="0" w:color="auto"/>
                                      </w:divBdr>
                                      <w:divsChild>
                                        <w:div w:id="1644578107">
                                          <w:marLeft w:val="0"/>
                                          <w:marRight w:val="0"/>
                                          <w:marTop w:val="0"/>
                                          <w:marBottom w:val="0"/>
                                          <w:divBdr>
                                            <w:top w:val="none" w:sz="0" w:space="0" w:color="auto"/>
                                            <w:left w:val="none" w:sz="0" w:space="0" w:color="auto"/>
                                            <w:bottom w:val="none" w:sz="0" w:space="0" w:color="auto"/>
                                            <w:right w:val="none" w:sz="0" w:space="0" w:color="auto"/>
                                          </w:divBdr>
                                          <w:divsChild>
                                            <w:div w:id="1801414889">
                                              <w:marLeft w:val="0"/>
                                              <w:marRight w:val="0"/>
                                              <w:marTop w:val="0"/>
                                              <w:marBottom w:val="0"/>
                                              <w:divBdr>
                                                <w:top w:val="none" w:sz="0" w:space="0" w:color="auto"/>
                                                <w:left w:val="none" w:sz="0" w:space="0" w:color="auto"/>
                                                <w:bottom w:val="none" w:sz="0" w:space="0" w:color="auto"/>
                                                <w:right w:val="none" w:sz="0" w:space="0" w:color="auto"/>
                                              </w:divBdr>
                                              <w:divsChild>
                                                <w:div w:id="1251082441">
                                                  <w:marLeft w:val="0"/>
                                                  <w:marRight w:val="0"/>
                                                  <w:marTop w:val="0"/>
                                                  <w:marBottom w:val="0"/>
                                                  <w:divBdr>
                                                    <w:top w:val="none" w:sz="0" w:space="0" w:color="auto"/>
                                                    <w:left w:val="none" w:sz="0" w:space="0" w:color="auto"/>
                                                    <w:bottom w:val="none" w:sz="0" w:space="0" w:color="auto"/>
                                                    <w:right w:val="none" w:sz="0" w:space="0" w:color="auto"/>
                                                  </w:divBdr>
                                                </w:div>
                                                <w:div w:id="662319421">
                                                  <w:marLeft w:val="0"/>
                                                  <w:marRight w:val="0"/>
                                                  <w:marTop w:val="0"/>
                                                  <w:marBottom w:val="0"/>
                                                  <w:divBdr>
                                                    <w:top w:val="none" w:sz="0" w:space="0" w:color="auto"/>
                                                    <w:left w:val="none" w:sz="0" w:space="0" w:color="auto"/>
                                                    <w:bottom w:val="none" w:sz="0" w:space="0" w:color="auto"/>
                                                    <w:right w:val="none" w:sz="0" w:space="0" w:color="auto"/>
                                                  </w:divBdr>
                                                </w:div>
                                                <w:div w:id="78912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5850227">
      <w:bodyDiv w:val="1"/>
      <w:marLeft w:val="0"/>
      <w:marRight w:val="0"/>
      <w:marTop w:val="0"/>
      <w:marBottom w:val="0"/>
      <w:divBdr>
        <w:top w:val="none" w:sz="0" w:space="0" w:color="auto"/>
        <w:left w:val="none" w:sz="0" w:space="0" w:color="auto"/>
        <w:bottom w:val="none" w:sz="0" w:space="0" w:color="auto"/>
        <w:right w:val="none" w:sz="0" w:space="0" w:color="auto"/>
      </w:divBdr>
      <w:divsChild>
        <w:div w:id="1682852266">
          <w:marLeft w:val="0"/>
          <w:marRight w:val="0"/>
          <w:marTop w:val="0"/>
          <w:marBottom w:val="0"/>
          <w:divBdr>
            <w:top w:val="none" w:sz="0" w:space="0" w:color="auto"/>
            <w:left w:val="none" w:sz="0" w:space="0" w:color="auto"/>
            <w:bottom w:val="none" w:sz="0" w:space="0" w:color="auto"/>
            <w:right w:val="none" w:sz="0" w:space="0" w:color="auto"/>
          </w:divBdr>
          <w:divsChild>
            <w:div w:id="1382053121">
              <w:marLeft w:val="0"/>
              <w:marRight w:val="0"/>
              <w:marTop w:val="0"/>
              <w:marBottom w:val="0"/>
              <w:divBdr>
                <w:top w:val="none" w:sz="0" w:space="0" w:color="auto"/>
                <w:left w:val="none" w:sz="0" w:space="0" w:color="auto"/>
                <w:bottom w:val="none" w:sz="0" w:space="0" w:color="auto"/>
                <w:right w:val="none" w:sz="0" w:space="0" w:color="auto"/>
              </w:divBdr>
              <w:divsChild>
                <w:div w:id="1664119688">
                  <w:marLeft w:val="0"/>
                  <w:marRight w:val="0"/>
                  <w:marTop w:val="0"/>
                  <w:marBottom w:val="0"/>
                  <w:divBdr>
                    <w:top w:val="none" w:sz="0" w:space="0" w:color="auto"/>
                    <w:left w:val="none" w:sz="0" w:space="0" w:color="auto"/>
                    <w:bottom w:val="none" w:sz="0" w:space="0" w:color="auto"/>
                    <w:right w:val="none" w:sz="0" w:space="0" w:color="auto"/>
                  </w:divBdr>
                  <w:divsChild>
                    <w:div w:id="1222711917">
                      <w:marLeft w:val="0"/>
                      <w:marRight w:val="0"/>
                      <w:marTop w:val="0"/>
                      <w:marBottom w:val="0"/>
                      <w:divBdr>
                        <w:top w:val="none" w:sz="0" w:space="0" w:color="auto"/>
                        <w:left w:val="none" w:sz="0" w:space="0" w:color="auto"/>
                        <w:bottom w:val="none" w:sz="0" w:space="0" w:color="auto"/>
                        <w:right w:val="none" w:sz="0" w:space="0" w:color="auto"/>
                      </w:divBdr>
                      <w:divsChild>
                        <w:div w:id="718434764">
                          <w:marLeft w:val="0"/>
                          <w:marRight w:val="0"/>
                          <w:marTop w:val="0"/>
                          <w:marBottom w:val="0"/>
                          <w:divBdr>
                            <w:top w:val="none" w:sz="0" w:space="0" w:color="auto"/>
                            <w:left w:val="none" w:sz="0" w:space="0" w:color="auto"/>
                            <w:bottom w:val="none" w:sz="0" w:space="0" w:color="auto"/>
                            <w:right w:val="none" w:sz="0" w:space="0" w:color="auto"/>
                          </w:divBdr>
                          <w:divsChild>
                            <w:div w:id="1557164855">
                              <w:marLeft w:val="0"/>
                              <w:marRight w:val="0"/>
                              <w:marTop w:val="0"/>
                              <w:marBottom w:val="0"/>
                              <w:divBdr>
                                <w:top w:val="none" w:sz="0" w:space="0" w:color="auto"/>
                                <w:left w:val="none" w:sz="0" w:space="0" w:color="auto"/>
                                <w:bottom w:val="none" w:sz="0" w:space="0" w:color="auto"/>
                                <w:right w:val="none" w:sz="0" w:space="0" w:color="auto"/>
                              </w:divBdr>
                              <w:divsChild>
                                <w:div w:id="1880436168">
                                  <w:marLeft w:val="0"/>
                                  <w:marRight w:val="0"/>
                                  <w:marTop w:val="0"/>
                                  <w:marBottom w:val="0"/>
                                  <w:divBdr>
                                    <w:top w:val="none" w:sz="0" w:space="0" w:color="auto"/>
                                    <w:left w:val="none" w:sz="0" w:space="0" w:color="auto"/>
                                    <w:bottom w:val="none" w:sz="0" w:space="0" w:color="auto"/>
                                    <w:right w:val="none" w:sz="0" w:space="0" w:color="auto"/>
                                  </w:divBdr>
                                  <w:divsChild>
                                    <w:div w:id="533537807">
                                      <w:marLeft w:val="0"/>
                                      <w:marRight w:val="0"/>
                                      <w:marTop w:val="0"/>
                                      <w:marBottom w:val="0"/>
                                      <w:divBdr>
                                        <w:top w:val="none" w:sz="0" w:space="0" w:color="auto"/>
                                        <w:left w:val="none" w:sz="0" w:space="0" w:color="auto"/>
                                        <w:bottom w:val="none" w:sz="0" w:space="0" w:color="auto"/>
                                        <w:right w:val="none" w:sz="0" w:space="0" w:color="auto"/>
                                      </w:divBdr>
                                      <w:divsChild>
                                        <w:div w:id="1858543088">
                                          <w:marLeft w:val="0"/>
                                          <w:marRight w:val="0"/>
                                          <w:marTop w:val="0"/>
                                          <w:marBottom w:val="0"/>
                                          <w:divBdr>
                                            <w:top w:val="none" w:sz="0" w:space="0" w:color="auto"/>
                                            <w:left w:val="none" w:sz="0" w:space="0" w:color="auto"/>
                                            <w:bottom w:val="none" w:sz="0" w:space="0" w:color="auto"/>
                                            <w:right w:val="none" w:sz="0" w:space="0" w:color="auto"/>
                                          </w:divBdr>
                                          <w:divsChild>
                                            <w:div w:id="2086026490">
                                              <w:marLeft w:val="0"/>
                                              <w:marRight w:val="0"/>
                                              <w:marTop w:val="0"/>
                                              <w:marBottom w:val="0"/>
                                              <w:divBdr>
                                                <w:top w:val="none" w:sz="0" w:space="0" w:color="auto"/>
                                                <w:left w:val="none" w:sz="0" w:space="0" w:color="auto"/>
                                                <w:bottom w:val="none" w:sz="0" w:space="0" w:color="auto"/>
                                                <w:right w:val="none" w:sz="0" w:space="0" w:color="auto"/>
                                              </w:divBdr>
                                              <w:divsChild>
                                                <w:div w:id="665059722">
                                                  <w:marLeft w:val="0"/>
                                                  <w:marRight w:val="0"/>
                                                  <w:marTop w:val="0"/>
                                                  <w:marBottom w:val="0"/>
                                                  <w:divBdr>
                                                    <w:top w:val="none" w:sz="0" w:space="0" w:color="auto"/>
                                                    <w:left w:val="none" w:sz="0" w:space="0" w:color="auto"/>
                                                    <w:bottom w:val="none" w:sz="0" w:space="0" w:color="auto"/>
                                                    <w:right w:val="none" w:sz="0" w:space="0" w:color="auto"/>
                                                  </w:divBdr>
                                                </w:div>
                                                <w:div w:id="125899482">
                                                  <w:marLeft w:val="0"/>
                                                  <w:marRight w:val="0"/>
                                                  <w:marTop w:val="0"/>
                                                  <w:marBottom w:val="0"/>
                                                  <w:divBdr>
                                                    <w:top w:val="none" w:sz="0" w:space="0" w:color="auto"/>
                                                    <w:left w:val="none" w:sz="0" w:space="0" w:color="auto"/>
                                                    <w:bottom w:val="none" w:sz="0" w:space="0" w:color="auto"/>
                                                    <w:right w:val="none" w:sz="0" w:space="0" w:color="auto"/>
                                                  </w:divBdr>
                                                </w:div>
                                                <w:div w:id="1187405216">
                                                  <w:marLeft w:val="0"/>
                                                  <w:marRight w:val="0"/>
                                                  <w:marTop w:val="0"/>
                                                  <w:marBottom w:val="0"/>
                                                  <w:divBdr>
                                                    <w:top w:val="none" w:sz="0" w:space="0" w:color="auto"/>
                                                    <w:left w:val="none" w:sz="0" w:space="0" w:color="auto"/>
                                                    <w:bottom w:val="none" w:sz="0" w:space="0" w:color="auto"/>
                                                    <w:right w:val="none" w:sz="0" w:space="0" w:color="auto"/>
                                                  </w:divBdr>
                                                </w:div>
                                                <w:div w:id="1829438254">
                                                  <w:marLeft w:val="0"/>
                                                  <w:marRight w:val="0"/>
                                                  <w:marTop w:val="0"/>
                                                  <w:marBottom w:val="0"/>
                                                  <w:divBdr>
                                                    <w:top w:val="none" w:sz="0" w:space="0" w:color="auto"/>
                                                    <w:left w:val="none" w:sz="0" w:space="0" w:color="auto"/>
                                                    <w:bottom w:val="none" w:sz="0" w:space="0" w:color="auto"/>
                                                    <w:right w:val="none" w:sz="0" w:space="0" w:color="auto"/>
                                                  </w:divBdr>
                                                  <w:divsChild>
                                                    <w:div w:id="198670586">
                                                      <w:marLeft w:val="0"/>
                                                      <w:marRight w:val="0"/>
                                                      <w:marTop w:val="0"/>
                                                      <w:marBottom w:val="0"/>
                                                      <w:divBdr>
                                                        <w:top w:val="none" w:sz="0" w:space="0" w:color="auto"/>
                                                        <w:left w:val="none" w:sz="0" w:space="0" w:color="auto"/>
                                                        <w:bottom w:val="none" w:sz="0" w:space="0" w:color="auto"/>
                                                        <w:right w:val="none" w:sz="0" w:space="0" w:color="auto"/>
                                                      </w:divBdr>
                                                    </w:div>
                                                    <w:div w:id="1272934619">
                                                      <w:marLeft w:val="0"/>
                                                      <w:marRight w:val="0"/>
                                                      <w:marTop w:val="0"/>
                                                      <w:marBottom w:val="0"/>
                                                      <w:divBdr>
                                                        <w:top w:val="none" w:sz="0" w:space="0" w:color="auto"/>
                                                        <w:left w:val="none" w:sz="0" w:space="0" w:color="auto"/>
                                                        <w:bottom w:val="none" w:sz="0" w:space="0" w:color="auto"/>
                                                        <w:right w:val="none" w:sz="0" w:space="0" w:color="auto"/>
                                                      </w:divBdr>
                                                    </w:div>
                                                    <w:div w:id="611477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3009677">
      <w:bodyDiv w:val="1"/>
      <w:marLeft w:val="0"/>
      <w:marRight w:val="0"/>
      <w:marTop w:val="0"/>
      <w:marBottom w:val="0"/>
      <w:divBdr>
        <w:top w:val="none" w:sz="0" w:space="0" w:color="auto"/>
        <w:left w:val="none" w:sz="0" w:space="0" w:color="auto"/>
        <w:bottom w:val="none" w:sz="0" w:space="0" w:color="auto"/>
        <w:right w:val="none" w:sz="0" w:space="0" w:color="auto"/>
      </w:divBdr>
      <w:divsChild>
        <w:div w:id="2096971324">
          <w:marLeft w:val="0"/>
          <w:marRight w:val="0"/>
          <w:marTop w:val="0"/>
          <w:marBottom w:val="0"/>
          <w:divBdr>
            <w:top w:val="none" w:sz="0" w:space="0" w:color="auto"/>
            <w:left w:val="none" w:sz="0" w:space="0" w:color="auto"/>
            <w:bottom w:val="none" w:sz="0" w:space="0" w:color="auto"/>
            <w:right w:val="none" w:sz="0" w:space="0" w:color="auto"/>
          </w:divBdr>
          <w:divsChild>
            <w:div w:id="1738672789">
              <w:marLeft w:val="0"/>
              <w:marRight w:val="0"/>
              <w:marTop w:val="0"/>
              <w:marBottom w:val="0"/>
              <w:divBdr>
                <w:top w:val="none" w:sz="0" w:space="0" w:color="auto"/>
                <w:left w:val="none" w:sz="0" w:space="0" w:color="auto"/>
                <w:bottom w:val="none" w:sz="0" w:space="0" w:color="auto"/>
                <w:right w:val="none" w:sz="0" w:space="0" w:color="auto"/>
              </w:divBdr>
              <w:divsChild>
                <w:div w:id="1943802203">
                  <w:marLeft w:val="450"/>
                  <w:marRight w:val="450"/>
                  <w:marTop w:val="0"/>
                  <w:marBottom w:val="225"/>
                  <w:divBdr>
                    <w:top w:val="none" w:sz="0" w:space="0" w:color="auto"/>
                    <w:left w:val="none" w:sz="0" w:space="0" w:color="auto"/>
                    <w:bottom w:val="none" w:sz="0" w:space="0" w:color="auto"/>
                    <w:right w:val="none" w:sz="0" w:space="0" w:color="auto"/>
                  </w:divBdr>
                  <w:divsChild>
                    <w:div w:id="746420202">
                      <w:marLeft w:val="0"/>
                      <w:marRight w:val="0"/>
                      <w:marTop w:val="0"/>
                      <w:marBottom w:val="0"/>
                      <w:divBdr>
                        <w:top w:val="none" w:sz="0" w:space="0" w:color="auto"/>
                        <w:left w:val="none" w:sz="0" w:space="0" w:color="auto"/>
                        <w:bottom w:val="none" w:sz="0" w:space="0" w:color="auto"/>
                        <w:right w:val="none" w:sz="0" w:space="0" w:color="auto"/>
                      </w:divBdr>
                      <w:divsChild>
                        <w:div w:id="2061128538">
                          <w:marLeft w:val="0"/>
                          <w:marRight w:val="0"/>
                          <w:marTop w:val="150"/>
                          <w:marBottom w:val="150"/>
                          <w:divBdr>
                            <w:top w:val="none" w:sz="0" w:space="0" w:color="auto"/>
                            <w:left w:val="none" w:sz="0" w:space="0" w:color="auto"/>
                            <w:bottom w:val="none" w:sz="0" w:space="0" w:color="auto"/>
                            <w:right w:val="none" w:sz="0" w:space="0" w:color="auto"/>
                          </w:divBdr>
                        </w:div>
                        <w:div w:id="945426676">
                          <w:marLeft w:val="0"/>
                          <w:marRight w:val="0"/>
                          <w:marTop w:val="0"/>
                          <w:marBottom w:val="225"/>
                          <w:divBdr>
                            <w:top w:val="none" w:sz="0" w:space="0" w:color="auto"/>
                            <w:left w:val="none" w:sz="0" w:space="0" w:color="auto"/>
                            <w:bottom w:val="none" w:sz="0" w:space="0" w:color="auto"/>
                            <w:right w:val="none" w:sz="0" w:space="0" w:color="auto"/>
                          </w:divBdr>
                        </w:div>
                        <w:div w:id="883951883">
                          <w:marLeft w:val="0"/>
                          <w:marRight w:val="0"/>
                          <w:marTop w:val="0"/>
                          <w:marBottom w:val="0"/>
                          <w:divBdr>
                            <w:top w:val="none" w:sz="0" w:space="0" w:color="auto"/>
                            <w:left w:val="none" w:sz="0" w:space="0" w:color="auto"/>
                            <w:bottom w:val="none" w:sz="0" w:space="0" w:color="auto"/>
                            <w:right w:val="none" w:sz="0" w:space="0" w:color="auto"/>
                          </w:divBdr>
                          <w:divsChild>
                            <w:div w:id="44305450">
                              <w:marLeft w:val="0"/>
                              <w:marRight w:val="0"/>
                              <w:marTop w:val="150"/>
                              <w:marBottom w:val="150"/>
                              <w:divBdr>
                                <w:top w:val="none" w:sz="0" w:space="0" w:color="auto"/>
                                <w:left w:val="none" w:sz="0" w:space="0" w:color="auto"/>
                                <w:bottom w:val="none" w:sz="0" w:space="0" w:color="auto"/>
                                <w:right w:val="none" w:sz="0" w:space="0" w:color="auto"/>
                              </w:divBdr>
                            </w:div>
                          </w:divsChild>
                        </w:div>
                        <w:div w:id="1754234038">
                          <w:marLeft w:val="0"/>
                          <w:marRight w:val="0"/>
                          <w:marTop w:val="0"/>
                          <w:marBottom w:val="225"/>
                          <w:divBdr>
                            <w:top w:val="none" w:sz="0" w:space="0" w:color="auto"/>
                            <w:left w:val="none" w:sz="0" w:space="0" w:color="auto"/>
                            <w:bottom w:val="none" w:sz="0" w:space="0" w:color="auto"/>
                            <w:right w:val="none" w:sz="0" w:space="0" w:color="auto"/>
                          </w:divBdr>
                        </w:div>
                        <w:div w:id="24546087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94779736">
      <w:bodyDiv w:val="1"/>
      <w:marLeft w:val="0"/>
      <w:marRight w:val="0"/>
      <w:marTop w:val="0"/>
      <w:marBottom w:val="0"/>
      <w:divBdr>
        <w:top w:val="none" w:sz="0" w:space="0" w:color="auto"/>
        <w:left w:val="none" w:sz="0" w:space="0" w:color="auto"/>
        <w:bottom w:val="none" w:sz="0" w:space="0" w:color="auto"/>
        <w:right w:val="none" w:sz="0" w:space="0" w:color="auto"/>
      </w:divBdr>
      <w:divsChild>
        <w:div w:id="1713918548">
          <w:marLeft w:val="0"/>
          <w:marRight w:val="0"/>
          <w:marTop w:val="0"/>
          <w:marBottom w:val="0"/>
          <w:divBdr>
            <w:top w:val="none" w:sz="0" w:space="0" w:color="auto"/>
            <w:left w:val="none" w:sz="0" w:space="0" w:color="auto"/>
            <w:bottom w:val="none" w:sz="0" w:space="0" w:color="auto"/>
            <w:right w:val="none" w:sz="0" w:space="0" w:color="auto"/>
          </w:divBdr>
          <w:divsChild>
            <w:div w:id="1703095922">
              <w:marLeft w:val="0"/>
              <w:marRight w:val="0"/>
              <w:marTop w:val="0"/>
              <w:marBottom w:val="0"/>
              <w:divBdr>
                <w:top w:val="none" w:sz="0" w:space="0" w:color="auto"/>
                <w:left w:val="none" w:sz="0" w:space="0" w:color="auto"/>
                <w:bottom w:val="none" w:sz="0" w:space="0" w:color="auto"/>
                <w:right w:val="none" w:sz="0" w:space="0" w:color="auto"/>
              </w:divBdr>
              <w:divsChild>
                <w:div w:id="966156854">
                  <w:marLeft w:val="0"/>
                  <w:marRight w:val="0"/>
                  <w:marTop w:val="0"/>
                  <w:marBottom w:val="0"/>
                  <w:divBdr>
                    <w:top w:val="none" w:sz="0" w:space="0" w:color="auto"/>
                    <w:left w:val="none" w:sz="0" w:space="0" w:color="auto"/>
                    <w:bottom w:val="none" w:sz="0" w:space="0" w:color="auto"/>
                    <w:right w:val="none" w:sz="0" w:space="0" w:color="auto"/>
                  </w:divBdr>
                  <w:divsChild>
                    <w:div w:id="538588055">
                      <w:marLeft w:val="0"/>
                      <w:marRight w:val="0"/>
                      <w:marTop w:val="0"/>
                      <w:marBottom w:val="0"/>
                      <w:divBdr>
                        <w:top w:val="none" w:sz="0" w:space="0" w:color="auto"/>
                        <w:left w:val="none" w:sz="0" w:space="0" w:color="auto"/>
                        <w:bottom w:val="none" w:sz="0" w:space="0" w:color="auto"/>
                        <w:right w:val="none" w:sz="0" w:space="0" w:color="auto"/>
                      </w:divBdr>
                      <w:divsChild>
                        <w:div w:id="968435585">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499807625">
      <w:bodyDiv w:val="1"/>
      <w:marLeft w:val="0"/>
      <w:marRight w:val="0"/>
      <w:marTop w:val="0"/>
      <w:marBottom w:val="0"/>
      <w:divBdr>
        <w:top w:val="none" w:sz="0" w:space="0" w:color="auto"/>
        <w:left w:val="none" w:sz="0" w:space="0" w:color="auto"/>
        <w:bottom w:val="none" w:sz="0" w:space="0" w:color="auto"/>
        <w:right w:val="none" w:sz="0" w:space="0" w:color="auto"/>
      </w:divBdr>
      <w:divsChild>
        <w:div w:id="1345281979">
          <w:marLeft w:val="0"/>
          <w:marRight w:val="0"/>
          <w:marTop w:val="0"/>
          <w:marBottom w:val="0"/>
          <w:divBdr>
            <w:top w:val="none" w:sz="0" w:space="0" w:color="auto"/>
            <w:left w:val="none" w:sz="0" w:space="0" w:color="auto"/>
            <w:bottom w:val="none" w:sz="0" w:space="0" w:color="auto"/>
            <w:right w:val="none" w:sz="0" w:space="0" w:color="auto"/>
          </w:divBdr>
          <w:divsChild>
            <w:div w:id="1104113490">
              <w:marLeft w:val="0"/>
              <w:marRight w:val="0"/>
              <w:marTop w:val="0"/>
              <w:marBottom w:val="0"/>
              <w:divBdr>
                <w:top w:val="none" w:sz="0" w:space="0" w:color="auto"/>
                <w:left w:val="none" w:sz="0" w:space="0" w:color="auto"/>
                <w:bottom w:val="none" w:sz="0" w:space="0" w:color="auto"/>
                <w:right w:val="none" w:sz="0" w:space="0" w:color="auto"/>
              </w:divBdr>
              <w:divsChild>
                <w:div w:id="532306085">
                  <w:marLeft w:val="0"/>
                  <w:marRight w:val="0"/>
                  <w:marTop w:val="0"/>
                  <w:marBottom w:val="0"/>
                  <w:divBdr>
                    <w:top w:val="none" w:sz="0" w:space="0" w:color="auto"/>
                    <w:left w:val="none" w:sz="0" w:space="0" w:color="auto"/>
                    <w:bottom w:val="none" w:sz="0" w:space="0" w:color="auto"/>
                    <w:right w:val="none" w:sz="0" w:space="0" w:color="auto"/>
                  </w:divBdr>
                  <w:divsChild>
                    <w:div w:id="865754383">
                      <w:marLeft w:val="0"/>
                      <w:marRight w:val="0"/>
                      <w:marTop w:val="0"/>
                      <w:marBottom w:val="0"/>
                      <w:divBdr>
                        <w:top w:val="none" w:sz="0" w:space="0" w:color="auto"/>
                        <w:left w:val="none" w:sz="0" w:space="0" w:color="auto"/>
                        <w:bottom w:val="none" w:sz="0" w:space="0" w:color="auto"/>
                        <w:right w:val="none" w:sz="0" w:space="0" w:color="auto"/>
                      </w:divBdr>
                      <w:divsChild>
                        <w:div w:id="2016348072">
                          <w:marLeft w:val="0"/>
                          <w:marRight w:val="0"/>
                          <w:marTop w:val="0"/>
                          <w:marBottom w:val="0"/>
                          <w:divBdr>
                            <w:top w:val="none" w:sz="0" w:space="0" w:color="auto"/>
                            <w:left w:val="none" w:sz="0" w:space="0" w:color="auto"/>
                            <w:bottom w:val="none" w:sz="0" w:space="0" w:color="auto"/>
                            <w:right w:val="none" w:sz="0" w:space="0" w:color="auto"/>
                          </w:divBdr>
                          <w:divsChild>
                            <w:div w:id="1328629678">
                              <w:marLeft w:val="0"/>
                              <w:marRight w:val="0"/>
                              <w:marTop w:val="0"/>
                              <w:marBottom w:val="0"/>
                              <w:divBdr>
                                <w:top w:val="none" w:sz="0" w:space="0" w:color="auto"/>
                                <w:left w:val="none" w:sz="0" w:space="0" w:color="auto"/>
                                <w:bottom w:val="none" w:sz="0" w:space="0" w:color="auto"/>
                                <w:right w:val="none" w:sz="0" w:space="0" w:color="auto"/>
                              </w:divBdr>
                              <w:divsChild>
                                <w:div w:id="482935770">
                                  <w:marLeft w:val="0"/>
                                  <w:marRight w:val="0"/>
                                  <w:marTop w:val="0"/>
                                  <w:marBottom w:val="0"/>
                                  <w:divBdr>
                                    <w:top w:val="none" w:sz="0" w:space="0" w:color="auto"/>
                                    <w:left w:val="none" w:sz="0" w:space="0" w:color="auto"/>
                                    <w:bottom w:val="none" w:sz="0" w:space="0" w:color="auto"/>
                                    <w:right w:val="none" w:sz="0" w:space="0" w:color="auto"/>
                                  </w:divBdr>
                                  <w:divsChild>
                                    <w:div w:id="584191328">
                                      <w:marLeft w:val="0"/>
                                      <w:marRight w:val="0"/>
                                      <w:marTop w:val="0"/>
                                      <w:marBottom w:val="0"/>
                                      <w:divBdr>
                                        <w:top w:val="none" w:sz="0" w:space="0" w:color="auto"/>
                                        <w:left w:val="none" w:sz="0" w:space="0" w:color="auto"/>
                                        <w:bottom w:val="none" w:sz="0" w:space="0" w:color="auto"/>
                                        <w:right w:val="none" w:sz="0" w:space="0" w:color="auto"/>
                                      </w:divBdr>
                                      <w:divsChild>
                                        <w:div w:id="382026417">
                                          <w:marLeft w:val="0"/>
                                          <w:marRight w:val="0"/>
                                          <w:marTop w:val="0"/>
                                          <w:marBottom w:val="0"/>
                                          <w:divBdr>
                                            <w:top w:val="none" w:sz="0" w:space="0" w:color="auto"/>
                                            <w:left w:val="none" w:sz="0" w:space="0" w:color="auto"/>
                                            <w:bottom w:val="none" w:sz="0" w:space="0" w:color="auto"/>
                                            <w:right w:val="none" w:sz="0" w:space="0" w:color="auto"/>
                                          </w:divBdr>
                                          <w:divsChild>
                                            <w:div w:id="949629873">
                                              <w:marLeft w:val="0"/>
                                              <w:marRight w:val="0"/>
                                              <w:marTop w:val="0"/>
                                              <w:marBottom w:val="0"/>
                                              <w:divBdr>
                                                <w:top w:val="none" w:sz="0" w:space="0" w:color="auto"/>
                                                <w:left w:val="none" w:sz="0" w:space="0" w:color="auto"/>
                                                <w:bottom w:val="none" w:sz="0" w:space="0" w:color="auto"/>
                                                <w:right w:val="none" w:sz="0" w:space="0" w:color="auto"/>
                                              </w:divBdr>
                                              <w:divsChild>
                                                <w:div w:id="1072312942">
                                                  <w:marLeft w:val="0"/>
                                                  <w:marRight w:val="0"/>
                                                  <w:marTop w:val="0"/>
                                                  <w:marBottom w:val="0"/>
                                                  <w:divBdr>
                                                    <w:top w:val="none" w:sz="0" w:space="0" w:color="auto"/>
                                                    <w:left w:val="none" w:sz="0" w:space="0" w:color="auto"/>
                                                    <w:bottom w:val="none" w:sz="0" w:space="0" w:color="auto"/>
                                                    <w:right w:val="none" w:sz="0" w:space="0" w:color="auto"/>
                                                  </w:divBdr>
                                                </w:div>
                                                <w:div w:id="1036731082">
                                                  <w:marLeft w:val="0"/>
                                                  <w:marRight w:val="0"/>
                                                  <w:marTop w:val="0"/>
                                                  <w:marBottom w:val="0"/>
                                                  <w:divBdr>
                                                    <w:top w:val="none" w:sz="0" w:space="0" w:color="auto"/>
                                                    <w:left w:val="none" w:sz="0" w:space="0" w:color="auto"/>
                                                    <w:bottom w:val="none" w:sz="0" w:space="0" w:color="auto"/>
                                                    <w:right w:val="none" w:sz="0" w:space="0" w:color="auto"/>
                                                  </w:divBdr>
                                                </w:div>
                                                <w:div w:id="1342506102">
                                                  <w:marLeft w:val="0"/>
                                                  <w:marRight w:val="0"/>
                                                  <w:marTop w:val="0"/>
                                                  <w:marBottom w:val="0"/>
                                                  <w:divBdr>
                                                    <w:top w:val="none" w:sz="0" w:space="0" w:color="auto"/>
                                                    <w:left w:val="none" w:sz="0" w:space="0" w:color="auto"/>
                                                    <w:bottom w:val="none" w:sz="0" w:space="0" w:color="auto"/>
                                                    <w:right w:val="none" w:sz="0" w:space="0" w:color="auto"/>
                                                  </w:divBdr>
                                                </w:div>
                                                <w:div w:id="1331710836">
                                                  <w:marLeft w:val="0"/>
                                                  <w:marRight w:val="0"/>
                                                  <w:marTop w:val="0"/>
                                                  <w:marBottom w:val="0"/>
                                                  <w:divBdr>
                                                    <w:top w:val="none" w:sz="0" w:space="0" w:color="auto"/>
                                                    <w:left w:val="none" w:sz="0" w:space="0" w:color="auto"/>
                                                    <w:bottom w:val="none" w:sz="0" w:space="0" w:color="auto"/>
                                                    <w:right w:val="none" w:sz="0" w:space="0" w:color="auto"/>
                                                  </w:divBdr>
                                                  <w:divsChild>
                                                    <w:div w:id="1603799830">
                                                      <w:marLeft w:val="0"/>
                                                      <w:marRight w:val="0"/>
                                                      <w:marTop w:val="0"/>
                                                      <w:marBottom w:val="0"/>
                                                      <w:divBdr>
                                                        <w:top w:val="none" w:sz="0" w:space="0" w:color="auto"/>
                                                        <w:left w:val="none" w:sz="0" w:space="0" w:color="auto"/>
                                                        <w:bottom w:val="none" w:sz="0" w:space="0" w:color="auto"/>
                                                        <w:right w:val="none" w:sz="0" w:space="0" w:color="auto"/>
                                                      </w:divBdr>
                                                    </w:div>
                                                    <w:div w:id="1540819923">
                                                      <w:marLeft w:val="0"/>
                                                      <w:marRight w:val="0"/>
                                                      <w:marTop w:val="0"/>
                                                      <w:marBottom w:val="0"/>
                                                      <w:divBdr>
                                                        <w:top w:val="none" w:sz="0" w:space="0" w:color="auto"/>
                                                        <w:left w:val="none" w:sz="0" w:space="0" w:color="auto"/>
                                                        <w:bottom w:val="none" w:sz="0" w:space="0" w:color="auto"/>
                                                        <w:right w:val="none" w:sz="0" w:space="0" w:color="auto"/>
                                                      </w:divBdr>
                                                    </w:div>
                                                    <w:div w:id="653988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0286262">
      <w:bodyDiv w:val="1"/>
      <w:marLeft w:val="0"/>
      <w:marRight w:val="0"/>
      <w:marTop w:val="0"/>
      <w:marBottom w:val="0"/>
      <w:divBdr>
        <w:top w:val="none" w:sz="0" w:space="0" w:color="auto"/>
        <w:left w:val="none" w:sz="0" w:space="0" w:color="auto"/>
        <w:bottom w:val="none" w:sz="0" w:space="0" w:color="auto"/>
        <w:right w:val="none" w:sz="0" w:space="0" w:color="auto"/>
      </w:divBdr>
      <w:divsChild>
        <w:div w:id="1235891124">
          <w:marLeft w:val="0"/>
          <w:marRight w:val="0"/>
          <w:marTop w:val="0"/>
          <w:marBottom w:val="0"/>
          <w:divBdr>
            <w:top w:val="none" w:sz="0" w:space="0" w:color="auto"/>
            <w:left w:val="none" w:sz="0" w:space="0" w:color="auto"/>
            <w:bottom w:val="none" w:sz="0" w:space="0" w:color="auto"/>
            <w:right w:val="none" w:sz="0" w:space="0" w:color="auto"/>
          </w:divBdr>
          <w:divsChild>
            <w:div w:id="1829243900">
              <w:marLeft w:val="0"/>
              <w:marRight w:val="0"/>
              <w:marTop w:val="0"/>
              <w:marBottom w:val="0"/>
              <w:divBdr>
                <w:top w:val="none" w:sz="0" w:space="0" w:color="auto"/>
                <w:left w:val="none" w:sz="0" w:space="0" w:color="auto"/>
                <w:bottom w:val="none" w:sz="0" w:space="0" w:color="auto"/>
                <w:right w:val="none" w:sz="0" w:space="0" w:color="auto"/>
              </w:divBdr>
              <w:divsChild>
                <w:div w:id="1492453916">
                  <w:marLeft w:val="450"/>
                  <w:marRight w:val="450"/>
                  <w:marTop w:val="0"/>
                  <w:marBottom w:val="225"/>
                  <w:divBdr>
                    <w:top w:val="none" w:sz="0" w:space="0" w:color="auto"/>
                    <w:left w:val="none" w:sz="0" w:space="0" w:color="auto"/>
                    <w:bottom w:val="none" w:sz="0" w:space="0" w:color="auto"/>
                    <w:right w:val="none" w:sz="0" w:space="0" w:color="auto"/>
                  </w:divBdr>
                  <w:divsChild>
                    <w:div w:id="2072456124">
                      <w:marLeft w:val="0"/>
                      <w:marRight w:val="0"/>
                      <w:marTop w:val="0"/>
                      <w:marBottom w:val="0"/>
                      <w:divBdr>
                        <w:top w:val="none" w:sz="0" w:space="0" w:color="auto"/>
                        <w:left w:val="none" w:sz="0" w:space="0" w:color="auto"/>
                        <w:bottom w:val="none" w:sz="0" w:space="0" w:color="auto"/>
                        <w:right w:val="none" w:sz="0" w:space="0" w:color="auto"/>
                      </w:divBdr>
                      <w:divsChild>
                        <w:div w:id="1114179859">
                          <w:marLeft w:val="0"/>
                          <w:marRight w:val="0"/>
                          <w:marTop w:val="150"/>
                          <w:marBottom w:val="150"/>
                          <w:divBdr>
                            <w:top w:val="none" w:sz="0" w:space="0" w:color="auto"/>
                            <w:left w:val="none" w:sz="0" w:space="0" w:color="auto"/>
                            <w:bottom w:val="none" w:sz="0" w:space="0" w:color="auto"/>
                            <w:right w:val="none" w:sz="0" w:space="0" w:color="auto"/>
                          </w:divBdr>
                        </w:div>
                        <w:div w:id="495000037">
                          <w:marLeft w:val="0"/>
                          <w:marRight w:val="0"/>
                          <w:marTop w:val="0"/>
                          <w:marBottom w:val="225"/>
                          <w:divBdr>
                            <w:top w:val="none" w:sz="0" w:space="0" w:color="auto"/>
                            <w:left w:val="none" w:sz="0" w:space="0" w:color="auto"/>
                            <w:bottom w:val="none" w:sz="0" w:space="0" w:color="auto"/>
                            <w:right w:val="none" w:sz="0" w:space="0" w:color="auto"/>
                          </w:divBdr>
                        </w:div>
                        <w:div w:id="1039353669">
                          <w:marLeft w:val="0"/>
                          <w:marRight w:val="0"/>
                          <w:marTop w:val="0"/>
                          <w:marBottom w:val="0"/>
                          <w:divBdr>
                            <w:top w:val="none" w:sz="0" w:space="0" w:color="auto"/>
                            <w:left w:val="none" w:sz="0" w:space="0" w:color="auto"/>
                            <w:bottom w:val="none" w:sz="0" w:space="0" w:color="auto"/>
                            <w:right w:val="none" w:sz="0" w:space="0" w:color="auto"/>
                          </w:divBdr>
                          <w:divsChild>
                            <w:div w:id="1714648724">
                              <w:marLeft w:val="0"/>
                              <w:marRight w:val="0"/>
                              <w:marTop w:val="150"/>
                              <w:marBottom w:val="150"/>
                              <w:divBdr>
                                <w:top w:val="none" w:sz="0" w:space="0" w:color="auto"/>
                                <w:left w:val="none" w:sz="0" w:space="0" w:color="auto"/>
                                <w:bottom w:val="none" w:sz="0" w:space="0" w:color="auto"/>
                                <w:right w:val="none" w:sz="0" w:space="0" w:color="auto"/>
                              </w:divBdr>
                            </w:div>
                          </w:divsChild>
                        </w:div>
                        <w:div w:id="1280647652">
                          <w:marLeft w:val="0"/>
                          <w:marRight w:val="0"/>
                          <w:marTop w:val="0"/>
                          <w:marBottom w:val="225"/>
                          <w:divBdr>
                            <w:top w:val="none" w:sz="0" w:space="0" w:color="auto"/>
                            <w:left w:val="none" w:sz="0" w:space="0" w:color="auto"/>
                            <w:bottom w:val="none" w:sz="0" w:space="0" w:color="auto"/>
                            <w:right w:val="none" w:sz="0" w:space="0" w:color="auto"/>
                          </w:divBdr>
                        </w:div>
                        <w:div w:id="123033859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625307456">
      <w:bodyDiv w:val="1"/>
      <w:marLeft w:val="0"/>
      <w:marRight w:val="0"/>
      <w:marTop w:val="0"/>
      <w:marBottom w:val="0"/>
      <w:divBdr>
        <w:top w:val="none" w:sz="0" w:space="0" w:color="auto"/>
        <w:left w:val="none" w:sz="0" w:space="0" w:color="auto"/>
        <w:bottom w:val="none" w:sz="0" w:space="0" w:color="auto"/>
        <w:right w:val="none" w:sz="0" w:space="0" w:color="auto"/>
      </w:divBdr>
      <w:divsChild>
        <w:div w:id="1936749157">
          <w:marLeft w:val="0"/>
          <w:marRight w:val="0"/>
          <w:marTop w:val="0"/>
          <w:marBottom w:val="0"/>
          <w:divBdr>
            <w:top w:val="none" w:sz="0" w:space="0" w:color="auto"/>
            <w:left w:val="none" w:sz="0" w:space="0" w:color="auto"/>
            <w:bottom w:val="none" w:sz="0" w:space="0" w:color="auto"/>
            <w:right w:val="none" w:sz="0" w:space="0" w:color="auto"/>
          </w:divBdr>
          <w:divsChild>
            <w:div w:id="1595162071">
              <w:marLeft w:val="0"/>
              <w:marRight w:val="0"/>
              <w:marTop w:val="0"/>
              <w:marBottom w:val="0"/>
              <w:divBdr>
                <w:top w:val="none" w:sz="0" w:space="0" w:color="auto"/>
                <w:left w:val="none" w:sz="0" w:space="0" w:color="auto"/>
                <w:bottom w:val="none" w:sz="0" w:space="0" w:color="auto"/>
                <w:right w:val="none" w:sz="0" w:space="0" w:color="auto"/>
              </w:divBdr>
              <w:divsChild>
                <w:div w:id="1296371695">
                  <w:marLeft w:val="450"/>
                  <w:marRight w:val="450"/>
                  <w:marTop w:val="0"/>
                  <w:marBottom w:val="225"/>
                  <w:divBdr>
                    <w:top w:val="none" w:sz="0" w:space="0" w:color="auto"/>
                    <w:left w:val="none" w:sz="0" w:space="0" w:color="auto"/>
                    <w:bottom w:val="none" w:sz="0" w:space="0" w:color="auto"/>
                    <w:right w:val="none" w:sz="0" w:space="0" w:color="auto"/>
                  </w:divBdr>
                  <w:divsChild>
                    <w:div w:id="549417927">
                      <w:marLeft w:val="0"/>
                      <w:marRight w:val="0"/>
                      <w:marTop w:val="0"/>
                      <w:marBottom w:val="0"/>
                      <w:divBdr>
                        <w:top w:val="none" w:sz="0" w:space="0" w:color="auto"/>
                        <w:left w:val="none" w:sz="0" w:space="0" w:color="auto"/>
                        <w:bottom w:val="none" w:sz="0" w:space="0" w:color="auto"/>
                        <w:right w:val="none" w:sz="0" w:space="0" w:color="auto"/>
                      </w:divBdr>
                      <w:divsChild>
                        <w:div w:id="1312514292">
                          <w:marLeft w:val="0"/>
                          <w:marRight w:val="0"/>
                          <w:marTop w:val="75"/>
                          <w:marBottom w:val="150"/>
                          <w:divBdr>
                            <w:top w:val="none" w:sz="0" w:space="0" w:color="auto"/>
                            <w:left w:val="none" w:sz="0" w:space="0" w:color="auto"/>
                            <w:bottom w:val="none" w:sz="0" w:space="0" w:color="auto"/>
                            <w:right w:val="none" w:sz="0" w:space="0" w:color="auto"/>
                          </w:divBdr>
                        </w:div>
                        <w:div w:id="173762144">
                          <w:marLeft w:val="0"/>
                          <w:marRight w:val="0"/>
                          <w:marTop w:val="150"/>
                          <w:marBottom w:val="150"/>
                          <w:divBdr>
                            <w:top w:val="none" w:sz="0" w:space="0" w:color="auto"/>
                            <w:left w:val="none" w:sz="0" w:space="0" w:color="auto"/>
                            <w:bottom w:val="none" w:sz="0" w:space="0" w:color="auto"/>
                            <w:right w:val="none" w:sz="0" w:space="0" w:color="auto"/>
                          </w:divBdr>
                        </w:div>
                        <w:div w:id="117334402">
                          <w:marLeft w:val="0"/>
                          <w:marRight w:val="0"/>
                          <w:marTop w:val="0"/>
                          <w:marBottom w:val="150"/>
                          <w:divBdr>
                            <w:top w:val="none" w:sz="0" w:space="0" w:color="auto"/>
                            <w:left w:val="none" w:sz="0" w:space="0" w:color="auto"/>
                            <w:bottom w:val="none" w:sz="0" w:space="0" w:color="auto"/>
                            <w:right w:val="none" w:sz="0" w:space="0" w:color="auto"/>
                          </w:divBdr>
                        </w:div>
                        <w:div w:id="1492868074">
                          <w:marLeft w:val="0"/>
                          <w:marRight w:val="0"/>
                          <w:marTop w:val="0"/>
                          <w:marBottom w:val="225"/>
                          <w:divBdr>
                            <w:top w:val="none" w:sz="0" w:space="0" w:color="auto"/>
                            <w:left w:val="none" w:sz="0" w:space="0" w:color="auto"/>
                            <w:bottom w:val="none" w:sz="0" w:space="0" w:color="auto"/>
                            <w:right w:val="none" w:sz="0" w:space="0" w:color="auto"/>
                          </w:divBdr>
                        </w:div>
                        <w:div w:id="70487194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648096669">
      <w:bodyDiv w:val="1"/>
      <w:marLeft w:val="0"/>
      <w:marRight w:val="0"/>
      <w:marTop w:val="0"/>
      <w:marBottom w:val="0"/>
      <w:divBdr>
        <w:top w:val="none" w:sz="0" w:space="0" w:color="auto"/>
        <w:left w:val="none" w:sz="0" w:space="0" w:color="auto"/>
        <w:bottom w:val="none" w:sz="0" w:space="0" w:color="auto"/>
        <w:right w:val="none" w:sz="0" w:space="0" w:color="auto"/>
      </w:divBdr>
      <w:divsChild>
        <w:div w:id="845948768">
          <w:marLeft w:val="0"/>
          <w:marRight w:val="0"/>
          <w:marTop w:val="0"/>
          <w:marBottom w:val="0"/>
          <w:divBdr>
            <w:top w:val="none" w:sz="0" w:space="0" w:color="auto"/>
            <w:left w:val="none" w:sz="0" w:space="0" w:color="auto"/>
            <w:bottom w:val="none" w:sz="0" w:space="0" w:color="auto"/>
            <w:right w:val="none" w:sz="0" w:space="0" w:color="auto"/>
          </w:divBdr>
          <w:divsChild>
            <w:div w:id="1856766480">
              <w:marLeft w:val="0"/>
              <w:marRight w:val="0"/>
              <w:marTop w:val="0"/>
              <w:marBottom w:val="0"/>
              <w:divBdr>
                <w:top w:val="none" w:sz="0" w:space="0" w:color="auto"/>
                <w:left w:val="none" w:sz="0" w:space="0" w:color="auto"/>
                <w:bottom w:val="none" w:sz="0" w:space="0" w:color="auto"/>
                <w:right w:val="none" w:sz="0" w:space="0" w:color="auto"/>
              </w:divBdr>
              <w:divsChild>
                <w:div w:id="407076742">
                  <w:marLeft w:val="0"/>
                  <w:marRight w:val="0"/>
                  <w:marTop w:val="0"/>
                  <w:marBottom w:val="0"/>
                  <w:divBdr>
                    <w:top w:val="none" w:sz="0" w:space="0" w:color="auto"/>
                    <w:left w:val="none" w:sz="0" w:space="0" w:color="auto"/>
                    <w:bottom w:val="none" w:sz="0" w:space="0" w:color="auto"/>
                    <w:right w:val="none" w:sz="0" w:space="0" w:color="auto"/>
                  </w:divBdr>
                  <w:divsChild>
                    <w:div w:id="620844285">
                      <w:marLeft w:val="0"/>
                      <w:marRight w:val="0"/>
                      <w:marTop w:val="0"/>
                      <w:marBottom w:val="0"/>
                      <w:divBdr>
                        <w:top w:val="none" w:sz="0" w:space="0" w:color="auto"/>
                        <w:left w:val="none" w:sz="0" w:space="0" w:color="auto"/>
                        <w:bottom w:val="none" w:sz="0" w:space="0" w:color="auto"/>
                        <w:right w:val="none" w:sz="0" w:space="0" w:color="auto"/>
                      </w:divBdr>
                      <w:divsChild>
                        <w:div w:id="622807600">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714353304">
      <w:bodyDiv w:val="1"/>
      <w:marLeft w:val="0"/>
      <w:marRight w:val="0"/>
      <w:marTop w:val="0"/>
      <w:marBottom w:val="0"/>
      <w:divBdr>
        <w:top w:val="none" w:sz="0" w:space="0" w:color="auto"/>
        <w:left w:val="none" w:sz="0" w:space="0" w:color="auto"/>
        <w:bottom w:val="none" w:sz="0" w:space="0" w:color="auto"/>
        <w:right w:val="none" w:sz="0" w:space="0" w:color="auto"/>
      </w:divBdr>
      <w:divsChild>
        <w:div w:id="961963263">
          <w:marLeft w:val="0"/>
          <w:marRight w:val="0"/>
          <w:marTop w:val="0"/>
          <w:marBottom w:val="0"/>
          <w:divBdr>
            <w:top w:val="none" w:sz="0" w:space="0" w:color="auto"/>
            <w:left w:val="none" w:sz="0" w:space="0" w:color="auto"/>
            <w:bottom w:val="none" w:sz="0" w:space="0" w:color="auto"/>
            <w:right w:val="none" w:sz="0" w:space="0" w:color="auto"/>
          </w:divBdr>
          <w:divsChild>
            <w:div w:id="1556618353">
              <w:marLeft w:val="0"/>
              <w:marRight w:val="0"/>
              <w:marTop w:val="0"/>
              <w:marBottom w:val="0"/>
              <w:divBdr>
                <w:top w:val="none" w:sz="0" w:space="0" w:color="auto"/>
                <w:left w:val="none" w:sz="0" w:space="0" w:color="auto"/>
                <w:bottom w:val="none" w:sz="0" w:space="0" w:color="auto"/>
                <w:right w:val="none" w:sz="0" w:space="0" w:color="auto"/>
              </w:divBdr>
              <w:divsChild>
                <w:div w:id="706680719">
                  <w:marLeft w:val="0"/>
                  <w:marRight w:val="0"/>
                  <w:marTop w:val="0"/>
                  <w:marBottom w:val="0"/>
                  <w:divBdr>
                    <w:top w:val="none" w:sz="0" w:space="0" w:color="auto"/>
                    <w:left w:val="none" w:sz="0" w:space="0" w:color="auto"/>
                    <w:bottom w:val="none" w:sz="0" w:space="0" w:color="auto"/>
                    <w:right w:val="none" w:sz="0" w:space="0" w:color="auto"/>
                  </w:divBdr>
                  <w:divsChild>
                    <w:div w:id="1519615616">
                      <w:marLeft w:val="0"/>
                      <w:marRight w:val="0"/>
                      <w:marTop w:val="0"/>
                      <w:marBottom w:val="0"/>
                      <w:divBdr>
                        <w:top w:val="none" w:sz="0" w:space="0" w:color="auto"/>
                        <w:left w:val="none" w:sz="0" w:space="0" w:color="auto"/>
                        <w:bottom w:val="none" w:sz="0" w:space="0" w:color="auto"/>
                        <w:right w:val="none" w:sz="0" w:space="0" w:color="auto"/>
                      </w:divBdr>
                      <w:divsChild>
                        <w:div w:id="174460951">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753169590">
      <w:bodyDiv w:val="1"/>
      <w:marLeft w:val="0"/>
      <w:marRight w:val="0"/>
      <w:marTop w:val="0"/>
      <w:marBottom w:val="0"/>
      <w:divBdr>
        <w:top w:val="none" w:sz="0" w:space="0" w:color="auto"/>
        <w:left w:val="none" w:sz="0" w:space="0" w:color="auto"/>
        <w:bottom w:val="none" w:sz="0" w:space="0" w:color="auto"/>
        <w:right w:val="none" w:sz="0" w:space="0" w:color="auto"/>
      </w:divBdr>
      <w:divsChild>
        <w:div w:id="1432240767">
          <w:marLeft w:val="0"/>
          <w:marRight w:val="0"/>
          <w:marTop w:val="0"/>
          <w:marBottom w:val="0"/>
          <w:divBdr>
            <w:top w:val="none" w:sz="0" w:space="0" w:color="auto"/>
            <w:left w:val="none" w:sz="0" w:space="0" w:color="auto"/>
            <w:bottom w:val="none" w:sz="0" w:space="0" w:color="auto"/>
            <w:right w:val="none" w:sz="0" w:space="0" w:color="auto"/>
          </w:divBdr>
          <w:divsChild>
            <w:div w:id="1915236531">
              <w:marLeft w:val="0"/>
              <w:marRight w:val="0"/>
              <w:marTop w:val="0"/>
              <w:marBottom w:val="0"/>
              <w:divBdr>
                <w:top w:val="none" w:sz="0" w:space="0" w:color="auto"/>
                <w:left w:val="none" w:sz="0" w:space="0" w:color="auto"/>
                <w:bottom w:val="none" w:sz="0" w:space="0" w:color="auto"/>
                <w:right w:val="none" w:sz="0" w:space="0" w:color="auto"/>
              </w:divBdr>
              <w:divsChild>
                <w:div w:id="1270047197">
                  <w:marLeft w:val="0"/>
                  <w:marRight w:val="0"/>
                  <w:marTop w:val="0"/>
                  <w:marBottom w:val="0"/>
                  <w:divBdr>
                    <w:top w:val="none" w:sz="0" w:space="0" w:color="auto"/>
                    <w:left w:val="none" w:sz="0" w:space="0" w:color="auto"/>
                    <w:bottom w:val="none" w:sz="0" w:space="0" w:color="auto"/>
                    <w:right w:val="none" w:sz="0" w:space="0" w:color="auto"/>
                  </w:divBdr>
                  <w:divsChild>
                    <w:div w:id="1272740384">
                      <w:marLeft w:val="0"/>
                      <w:marRight w:val="0"/>
                      <w:marTop w:val="0"/>
                      <w:marBottom w:val="0"/>
                      <w:divBdr>
                        <w:top w:val="none" w:sz="0" w:space="0" w:color="auto"/>
                        <w:left w:val="none" w:sz="0" w:space="0" w:color="auto"/>
                        <w:bottom w:val="none" w:sz="0" w:space="0" w:color="auto"/>
                        <w:right w:val="none" w:sz="0" w:space="0" w:color="auto"/>
                      </w:divBdr>
                      <w:divsChild>
                        <w:div w:id="789858785">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039010232">
      <w:bodyDiv w:val="1"/>
      <w:marLeft w:val="0"/>
      <w:marRight w:val="0"/>
      <w:marTop w:val="0"/>
      <w:marBottom w:val="0"/>
      <w:divBdr>
        <w:top w:val="none" w:sz="0" w:space="0" w:color="auto"/>
        <w:left w:val="none" w:sz="0" w:space="0" w:color="auto"/>
        <w:bottom w:val="none" w:sz="0" w:space="0" w:color="auto"/>
        <w:right w:val="none" w:sz="0" w:space="0" w:color="auto"/>
      </w:divBdr>
      <w:divsChild>
        <w:div w:id="123890447">
          <w:marLeft w:val="0"/>
          <w:marRight w:val="0"/>
          <w:marTop w:val="0"/>
          <w:marBottom w:val="0"/>
          <w:divBdr>
            <w:top w:val="none" w:sz="0" w:space="0" w:color="auto"/>
            <w:left w:val="none" w:sz="0" w:space="0" w:color="auto"/>
            <w:bottom w:val="none" w:sz="0" w:space="0" w:color="auto"/>
            <w:right w:val="none" w:sz="0" w:space="0" w:color="auto"/>
          </w:divBdr>
          <w:divsChild>
            <w:div w:id="1624531034">
              <w:marLeft w:val="0"/>
              <w:marRight w:val="0"/>
              <w:marTop w:val="0"/>
              <w:marBottom w:val="0"/>
              <w:divBdr>
                <w:top w:val="none" w:sz="0" w:space="0" w:color="auto"/>
                <w:left w:val="none" w:sz="0" w:space="0" w:color="auto"/>
                <w:bottom w:val="none" w:sz="0" w:space="0" w:color="auto"/>
                <w:right w:val="none" w:sz="0" w:space="0" w:color="auto"/>
              </w:divBdr>
              <w:divsChild>
                <w:div w:id="1560702983">
                  <w:marLeft w:val="0"/>
                  <w:marRight w:val="0"/>
                  <w:marTop w:val="0"/>
                  <w:marBottom w:val="0"/>
                  <w:divBdr>
                    <w:top w:val="none" w:sz="0" w:space="0" w:color="auto"/>
                    <w:left w:val="none" w:sz="0" w:space="0" w:color="auto"/>
                    <w:bottom w:val="none" w:sz="0" w:space="0" w:color="auto"/>
                    <w:right w:val="none" w:sz="0" w:space="0" w:color="auto"/>
                  </w:divBdr>
                  <w:divsChild>
                    <w:div w:id="804545188">
                      <w:marLeft w:val="0"/>
                      <w:marRight w:val="0"/>
                      <w:marTop w:val="0"/>
                      <w:marBottom w:val="0"/>
                      <w:divBdr>
                        <w:top w:val="none" w:sz="0" w:space="0" w:color="auto"/>
                        <w:left w:val="none" w:sz="0" w:space="0" w:color="auto"/>
                        <w:bottom w:val="none" w:sz="0" w:space="0" w:color="auto"/>
                        <w:right w:val="none" w:sz="0" w:space="0" w:color="auto"/>
                      </w:divBdr>
                      <w:divsChild>
                        <w:div w:id="1058171202">
                          <w:marLeft w:val="0"/>
                          <w:marRight w:val="0"/>
                          <w:marTop w:val="0"/>
                          <w:marBottom w:val="0"/>
                          <w:divBdr>
                            <w:top w:val="none" w:sz="0" w:space="0" w:color="auto"/>
                            <w:left w:val="none" w:sz="0" w:space="0" w:color="auto"/>
                            <w:bottom w:val="none" w:sz="0" w:space="0" w:color="auto"/>
                            <w:right w:val="none" w:sz="0" w:space="0" w:color="auto"/>
                          </w:divBdr>
                          <w:divsChild>
                            <w:div w:id="1884756535">
                              <w:marLeft w:val="0"/>
                              <w:marRight w:val="0"/>
                              <w:marTop w:val="0"/>
                              <w:marBottom w:val="0"/>
                              <w:divBdr>
                                <w:top w:val="none" w:sz="0" w:space="0" w:color="auto"/>
                                <w:left w:val="none" w:sz="0" w:space="0" w:color="auto"/>
                                <w:bottom w:val="none" w:sz="0" w:space="0" w:color="auto"/>
                                <w:right w:val="none" w:sz="0" w:space="0" w:color="auto"/>
                              </w:divBdr>
                              <w:divsChild>
                                <w:div w:id="1695426689">
                                  <w:marLeft w:val="0"/>
                                  <w:marRight w:val="0"/>
                                  <w:marTop w:val="0"/>
                                  <w:marBottom w:val="0"/>
                                  <w:divBdr>
                                    <w:top w:val="none" w:sz="0" w:space="0" w:color="auto"/>
                                    <w:left w:val="none" w:sz="0" w:space="0" w:color="auto"/>
                                    <w:bottom w:val="none" w:sz="0" w:space="0" w:color="auto"/>
                                    <w:right w:val="none" w:sz="0" w:space="0" w:color="auto"/>
                                  </w:divBdr>
                                  <w:divsChild>
                                    <w:div w:id="360008862">
                                      <w:marLeft w:val="0"/>
                                      <w:marRight w:val="0"/>
                                      <w:marTop w:val="0"/>
                                      <w:marBottom w:val="0"/>
                                      <w:divBdr>
                                        <w:top w:val="none" w:sz="0" w:space="0" w:color="auto"/>
                                        <w:left w:val="none" w:sz="0" w:space="0" w:color="auto"/>
                                        <w:bottom w:val="none" w:sz="0" w:space="0" w:color="auto"/>
                                        <w:right w:val="none" w:sz="0" w:space="0" w:color="auto"/>
                                      </w:divBdr>
                                      <w:divsChild>
                                        <w:div w:id="1529493245">
                                          <w:marLeft w:val="0"/>
                                          <w:marRight w:val="0"/>
                                          <w:marTop w:val="0"/>
                                          <w:marBottom w:val="0"/>
                                          <w:divBdr>
                                            <w:top w:val="none" w:sz="0" w:space="0" w:color="auto"/>
                                            <w:left w:val="none" w:sz="0" w:space="0" w:color="auto"/>
                                            <w:bottom w:val="none" w:sz="0" w:space="0" w:color="auto"/>
                                            <w:right w:val="none" w:sz="0" w:space="0" w:color="auto"/>
                                          </w:divBdr>
                                          <w:divsChild>
                                            <w:div w:id="2002737811">
                                              <w:marLeft w:val="0"/>
                                              <w:marRight w:val="0"/>
                                              <w:marTop w:val="0"/>
                                              <w:marBottom w:val="0"/>
                                              <w:divBdr>
                                                <w:top w:val="none" w:sz="0" w:space="0" w:color="auto"/>
                                                <w:left w:val="none" w:sz="0" w:space="0" w:color="auto"/>
                                                <w:bottom w:val="none" w:sz="0" w:space="0" w:color="auto"/>
                                                <w:right w:val="none" w:sz="0" w:space="0" w:color="auto"/>
                                              </w:divBdr>
                                              <w:divsChild>
                                                <w:div w:id="117141409">
                                                  <w:marLeft w:val="0"/>
                                                  <w:marRight w:val="0"/>
                                                  <w:marTop w:val="0"/>
                                                  <w:marBottom w:val="0"/>
                                                  <w:divBdr>
                                                    <w:top w:val="none" w:sz="0" w:space="0" w:color="auto"/>
                                                    <w:left w:val="none" w:sz="0" w:space="0" w:color="auto"/>
                                                    <w:bottom w:val="none" w:sz="0" w:space="0" w:color="auto"/>
                                                    <w:right w:val="none" w:sz="0" w:space="0" w:color="auto"/>
                                                  </w:divBdr>
                                                </w:div>
                                                <w:div w:id="452948001">
                                                  <w:marLeft w:val="0"/>
                                                  <w:marRight w:val="0"/>
                                                  <w:marTop w:val="0"/>
                                                  <w:marBottom w:val="0"/>
                                                  <w:divBdr>
                                                    <w:top w:val="none" w:sz="0" w:space="0" w:color="auto"/>
                                                    <w:left w:val="none" w:sz="0" w:space="0" w:color="auto"/>
                                                    <w:bottom w:val="none" w:sz="0" w:space="0" w:color="auto"/>
                                                    <w:right w:val="none" w:sz="0" w:space="0" w:color="auto"/>
                                                  </w:divBdr>
                                                </w:div>
                                                <w:div w:id="1451708471">
                                                  <w:marLeft w:val="0"/>
                                                  <w:marRight w:val="0"/>
                                                  <w:marTop w:val="0"/>
                                                  <w:marBottom w:val="0"/>
                                                  <w:divBdr>
                                                    <w:top w:val="none" w:sz="0" w:space="0" w:color="auto"/>
                                                    <w:left w:val="none" w:sz="0" w:space="0" w:color="auto"/>
                                                    <w:bottom w:val="none" w:sz="0" w:space="0" w:color="auto"/>
                                                    <w:right w:val="none" w:sz="0" w:space="0" w:color="auto"/>
                                                  </w:divBdr>
                                                </w:div>
                                                <w:div w:id="794756850">
                                                  <w:marLeft w:val="0"/>
                                                  <w:marRight w:val="0"/>
                                                  <w:marTop w:val="0"/>
                                                  <w:marBottom w:val="0"/>
                                                  <w:divBdr>
                                                    <w:top w:val="none" w:sz="0" w:space="0" w:color="auto"/>
                                                    <w:left w:val="none" w:sz="0" w:space="0" w:color="auto"/>
                                                    <w:bottom w:val="none" w:sz="0" w:space="0" w:color="auto"/>
                                                    <w:right w:val="none" w:sz="0" w:space="0" w:color="auto"/>
                                                  </w:divBdr>
                                                  <w:divsChild>
                                                    <w:div w:id="1114909174">
                                                      <w:marLeft w:val="0"/>
                                                      <w:marRight w:val="0"/>
                                                      <w:marTop w:val="0"/>
                                                      <w:marBottom w:val="0"/>
                                                      <w:divBdr>
                                                        <w:top w:val="none" w:sz="0" w:space="0" w:color="auto"/>
                                                        <w:left w:val="none" w:sz="0" w:space="0" w:color="auto"/>
                                                        <w:bottom w:val="none" w:sz="0" w:space="0" w:color="auto"/>
                                                        <w:right w:val="none" w:sz="0" w:space="0" w:color="auto"/>
                                                      </w:divBdr>
                                                    </w:div>
                                                    <w:div w:id="1530872871">
                                                      <w:marLeft w:val="0"/>
                                                      <w:marRight w:val="0"/>
                                                      <w:marTop w:val="0"/>
                                                      <w:marBottom w:val="0"/>
                                                      <w:divBdr>
                                                        <w:top w:val="none" w:sz="0" w:space="0" w:color="auto"/>
                                                        <w:left w:val="none" w:sz="0" w:space="0" w:color="auto"/>
                                                        <w:bottom w:val="none" w:sz="0" w:space="0" w:color="auto"/>
                                                        <w:right w:val="none" w:sz="0" w:space="0" w:color="auto"/>
                                                      </w:divBdr>
                                                    </w:div>
                                                    <w:div w:id="440421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77160828">
      <w:bodyDiv w:val="1"/>
      <w:marLeft w:val="0"/>
      <w:marRight w:val="0"/>
      <w:marTop w:val="0"/>
      <w:marBottom w:val="0"/>
      <w:divBdr>
        <w:top w:val="none" w:sz="0" w:space="0" w:color="auto"/>
        <w:left w:val="none" w:sz="0" w:space="0" w:color="auto"/>
        <w:bottom w:val="none" w:sz="0" w:space="0" w:color="auto"/>
        <w:right w:val="none" w:sz="0" w:space="0" w:color="auto"/>
      </w:divBdr>
      <w:divsChild>
        <w:div w:id="1886065490">
          <w:marLeft w:val="0"/>
          <w:marRight w:val="0"/>
          <w:marTop w:val="0"/>
          <w:marBottom w:val="0"/>
          <w:divBdr>
            <w:top w:val="none" w:sz="0" w:space="0" w:color="auto"/>
            <w:left w:val="none" w:sz="0" w:space="0" w:color="auto"/>
            <w:bottom w:val="none" w:sz="0" w:space="0" w:color="auto"/>
            <w:right w:val="none" w:sz="0" w:space="0" w:color="auto"/>
          </w:divBdr>
          <w:divsChild>
            <w:div w:id="295764932">
              <w:marLeft w:val="0"/>
              <w:marRight w:val="0"/>
              <w:marTop w:val="0"/>
              <w:marBottom w:val="0"/>
              <w:divBdr>
                <w:top w:val="none" w:sz="0" w:space="0" w:color="auto"/>
                <w:left w:val="none" w:sz="0" w:space="0" w:color="auto"/>
                <w:bottom w:val="none" w:sz="0" w:space="0" w:color="auto"/>
                <w:right w:val="none" w:sz="0" w:space="0" w:color="auto"/>
              </w:divBdr>
              <w:divsChild>
                <w:div w:id="421725762">
                  <w:marLeft w:val="0"/>
                  <w:marRight w:val="0"/>
                  <w:marTop w:val="0"/>
                  <w:marBottom w:val="0"/>
                  <w:divBdr>
                    <w:top w:val="none" w:sz="0" w:space="0" w:color="auto"/>
                    <w:left w:val="none" w:sz="0" w:space="0" w:color="auto"/>
                    <w:bottom w:val="none" w:sz="0" w:space="0" w:color="auto"/>
                    <w:right w:val="none" w:sz="0" w:space="0" w:color="auto"/>
                  </w:divBdr>
                  <w:divsChild>
                    <w:div w:id="664092530">
                      <w:marLeft w:val="0"/>
                      <w:marRight w:val="0"/>
                      <w:marTop w:val="0"/>
                      <w:marBottom w:val="0"/>
                      <w:divBdr>
                        <w:top w:val="none" w:sz="0" w:space="0" w:color="auto"/>
                        <w:left w:val="none" w:sz="0" w:space="0" w:color="auto"/>
                        <w:bottom w:val="none" w:sz="0" w:space="0" w:color="auto"/>
                        <w:right w:val="none" w:sz="0" w:space="0" w:color="auto"/>
                      </w:divBdr>
                      <w:divsChild>
                        <w:div w:id="122966383">
                          <w:marLeft w:val="0"/>
                          <w:marRight w:val="0"/>
                          <w:marTop w:val="0"/>
                          <w:marBottom w:val="0"/>
                          <w:divBdr>
                            <w:top w:val="none" w:sz="0" w:space="0" w:color="auto"/>
                            <w:left w:val="none" w:sz="0" w:space="0" w:color="auto"/>
                            <w:bottom w:val="none" w:sz="0" w:space="0" w:color="auto"/>
                            <w:right w:val="none" w:sz="0" w:space="0" w:color="auto"/>
                          </w:divBdr>
                          <w:divsChild>
                            <w:div w:id="805700612">
                              <w:marLeft w:val="0"/>
                              <w:marRight w:val="0"/>
                              <w:marTop w:val="0"/>
                              <w:marBottom w:val="0"/>
                              <w:divBdr>
                                <w:top w:val="none" w:sz="0" w:space="0" w:color="auto"/>
                                <w:left w:val="none" w:sz="0" w:space="0" w:color="auto"/>
                                <w:bottom w:val="none" w:sz="0" w:space="0" w:color="auto"/>
                                <w:right w:val="none" w:sz="0" w:space="0" w:color="auto"/>
                              </w:divBdr>
                              <w:divsChild>
                                <w:div w:id="457341141">
                                  <w:marLeft w:val="0"/>
                                  <w:marRight w:val="0"/>
                                  <w:marTop w:val="0"/>
                                  <w:marBottom w:val="0"/>
                                  <w:divBdr>
                                    <w:top w:val="none" w:sz="0" w:space="0" w:color="auto"/>
                                    <w:left w:val="none" w:sz="0" w:space="0" w:color="auto"/>
                                    <w:bottom w:val="none" w:sz="0" w:space="0" w:color="auto"/>
                                    <w:right w:val="none" w:sz="0" w:space="0" w:color="auto"/>
                                  </w:divBdr>
                                  <w:divsChild>
                                    <w:div w:id="235628081">
                                      <w:marLeft w:val="0"/>
                                      <w:marRight w:val="0"/>
                                      <w:marTop w:val="0"/>
                                      <w:marBottom w:val="0"/>
                                      <w:divBdr>
                                        <w:top w:val="none" w:sz="0" w:space="0" w:color="auto"/>
                                        <w:left w:val="none" w:sz="0" w:space="0" w:color="auto"/>
                                        <w:bottom w:val="none" w:sz="0" w:space="0" w:color="auto"/>
                                        <w:right w:val="none" w:sz="0" w:space="0" w:color="auto"/>
                                      </w:divBdr>
                                      <w:divsChild>
                                        <w:div w:id="1153062571">
                                          <w:marLeft w:val="0"/>
                                          <w:marRight w:val="0"/>
                                          <w:marTop w:val="0"/>
                                          <w:marBottom w:val="0"/>
                                          <w:divBdr>
                                            <w:top w:val="none" w:sz="0" w:space="0" w:color="auto"/>
                                            <w:left w:val="none" w:sz="0" w:space="0" w:color="auto"/>
                                            <w:bottom w:val="none" w:sz="0" w:space="0" w:color="auto"/>
                                            <w:right w:val="none" w:sz="0" w:space="0" w:color="auto"/>
                                          </w:divBdr>
                                          <w:divsChild>
                                            <w:div w:id="916591099">
                                              <w:marLeft w:val="0"/>
                                              <w:marRight w:val="0"/>
                                              <w:marTop w:val="0"/>
                                              <w:marBottom w:val="0"/>
                                              <w:divBdr>
                                                <w:top w:val="none" w:sz="0" w:space="0" w:color="auto"/>
                                                <w:left w:val="none" w:sz="0" w:space="0" w:color="auto"/>
                                                <w:bottom w:val="none" w:sz="0" w:space="0" w:color="auto"/>
                                                <w:right w:val="none" w:sz="0" w:space="0" w:color="auto"/>
                                              </w:divBdr>
                                              <w:divsChild>
                                                <w:div w:id="261383403">
                                                  <w:marLeft w:val="0"/>
                                                  <w:marRight w:val="0"/>
                                                  <w:marTop w:val="0"/>
                                                  <w:marBottom w:val="0"/>
                                                  <w:divBdr>
                                                    <w:top w:val="none" w:sz="0" w:space="0" w:color="auto"/>
                                                    <w:left w:val="none" w:sz="0" w:space="0" w:color="auto"/>
                                                    <w:bottom w:val="none" w:sz="0" w:space="0" w:color="auto"/>
                                                    <w:right w:val="none" w:sz="0" w:space="0" w:color="auto"/>
                                                  </w:divBdr>
                                                </w:div>
                                                <w:div w:id="213162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50941874">
      <w:bodyDiv w:val="1"/>
      <w:marLeft w:val="0"/>
      <w:marRight w:val="0"/>
      <w:marTop w:val="0"/>
      <w:marBottom w:val="0"/>
      <w:divBdr>
        <w:top w:val="none" w:sz="0" w:space="0" w:color="auto"/>
        <w:left w:val="none" w:sz="0" w:space="0" w:color="auto"/>
        <w:bottom w:val="none" w:sz="0" w:space="0" w:color="auto"/>
        <w:right w:val="none" w:sz="0" w:space="0" w:color="auto"/>
      </w:divBdr>
      <w:divsChild>
        <w:div w:id="757141671">
          <w:marLeft w:val="0"/>
          <w:marRight w:val="0"/>
          <w:marTop w:val="0"/>
          <w:marBottom w:val="0"/>
          <w:divBdr>
            <w:top w:val="none" w:sz="0" w:space="0" w:color="auto"/>
            <w:left w:val="none" w:sz="0" w:space="0" w:color="auto"/>
            <w:bottom w:val="none" w:sz="0" w:space="0" w:color="auto"/>
            <w:right w:val="none" w:sz="0" w:space="0" w:color="auto"/>
          </w:divBdr>
          <w:divsChild>
            <w:div w:id="294143926">
              <w:marLeft w:val="0"/>
              <w:marRight w:val="0"/>
              <w:marTop w:val="0"/>
              <w:marBottom w:val="0"/>
              <w:divBdr>
                <w:top w:val="none" w:sz="0" w:space="0" w:color="auto"/>
                <w:left w:val="none" w:sz="0" w:space="0" w:color="auto"/>
                <w:bottom w:val="none" w:sz="0" w:space="0" w:color="auto"/>
                <w:right w:val="none" w:sz="0" w:space="0" w:color="auto"/>
              </w:divBdr>
              <w:divsChild>
                <w:div w:id="1516578325">
                  <w:marLeft w:val="0"/>
                  <w:marRight w:val="0"/>
                  <w:marTop w:val="0"/>
                  <w:marBottom w:val="0"/>
                  <w:divBdr>
                    <w:top w:val="none" w:sz="0" w:space="0" w:color="auto"/>
                    <w:left w:val="none" w:sz="0" w:space="0" w:color="auto"/>
                    <w:bottom w:val="none" w:sz="0" w:space="0" w:color="auto"/>
                    <w:right w:val="none" w:sz="0" w:space="0" w:color="auto"/>
                  </w:divBdr>
                  <w:divsChild>
                    <w:div w:id="1958096364">
                      <w:marLeft w:val="0"/>
                      <w:marRight w:val="0"/>
                      <w:marTop w:val="0"/>
                      <w:marBottom w:val="0"/>
                      <w:divBdr>
                        <w:top w:val="none" w:sz="0" w:space="0" w:color="auto"/>
                        <w:left w:val="none" w:sz="0" w:space="0" w:color="auto"/>
                        <w:bottom w:val="none" w:sz="0" w:space="0" w:color="auto"/>
                        <w:right w:val="none" w:sz="0" w:space="0" w:color="auto"/>
                      </w:divBdr>
                      <w:divsChild>
                        <w:div w:id="675962149">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740636415">
      <w:bodyDiv w:val="1"/>
      <w:marLeft w:val="0"/>
      <w:marRight w:val="0"/>
      <w:marTop w:val="0"/>
      <w:marBottom w:val="0"/>
      <w:divBdr>
        <w:top w:val="none" w:sz="0" w:space="0" w:color="auto"/>
        <w:left w:val="none" w:sz="0" w:space="0" w:color="auto"/>
        <w:bottom w:val="none" w:sz="0" w:space="0" w:color="auto"/>
        <w:right w:val="none" w:sz="0" w:space="0" w:color="auto"/>
      </w:divBdr>
      <w:divsChild>
        <w:div w:id="73864012">
          <w:marLeft w:val="0"/>
          <w:marRight w:val="0"/>
          <w:marTop w:val="0"/>
          <w:marBottom w:val="0"/>
          <w:divBdr>
            <w:top w:val="none" w:sz="0" w:space="0" w:color="auto"/>
            <w:left w:val="none" w:sz="0" w:space="0" w:color="auto"/>
            <w:bottom w:val="none" w:sz="0" w:space="0" w:color="auto"/>
            <w:right w:val="none" w:sz="0" w:space="0" w:color="auto"/>
          </w:divBdr>
          <w:divsChild>
            <w:div w:id="1288199925">
              <w:marLeft w:val="0"/>
              <w:marRight w:val="0"/>
              <w:marTop w:val="0"/>
              <w:marBottom w:val="0"/>
              <w:divBdr>
                <w:top w:val="none" w:sz="0" w:space="0" w:color="auto"/>
                <w:left w:val="none" w:sz="0" w:space="0" w:color="auto"/>
                <w:bottom w:val="none" w:sz="0" w:space="0" w:color="auto"/>
                <w:right w:val="none" w:sz="0" w:space="0" w:color="auto"/>
              </w:divBdr>
              <w:divsChild>
                <w:div w:id="244387823">
                  <w:marLeft w:val="450"/>
                  <w:marRight w:val="450"/>
                  <w:marTop w:val="0"/>
                  <w:marBottom w:val="225"/>
                  <w:divBdr>
                    <w:top w:val="none" w:sz="0" w:space="0" w:color="auto"/>
                    <w:left w:val="none" w:sz="0" w:space="0" w:color="auto"/>
                    <w:bottom w:val="none" w:sz="0" w:space="0" w:color="auto"/>
                    <w:right w:val="none" w:sz="0" w:space="0" w:color="auto"/>
                  </w:divBdr>
                  <w:divsChild>
                    <w:div w:id="1474757550">
                      <w:marLeft w:val="0"/>
                      <w:marRight w:val="0"/>
                      <w:marTop w:val="0"/>
                      <w:marBottom w:val="0"/>
                      <w:divBdr>
                        <w:top w:val="none" w:sz="0" w:space="0" w:color="auto"/>
                        <w:left w:val="none" w:sz="0" w:space="0" w:color="auto"/>
                        <w:bottom w:val="none" w:sz="0" w:space="0" w:color="auto"/>
                        <w:right w:val="none" w:sz="0" w:space="0" w:color="auto"/>
                      </w:divBdr>
                      <w:divsChild>
                        <w:div w:id="1495757227">
                          <w:marLeft w:val="0"/>
                          <w:marRight w:val="0"/>
                          <w:marTop w:val="0"/>
                          <w:marBottom w:val="0"/>
                          <w:divBdr>
                            <w:top w:val="none" w:sz="0" w:space="0" w:color="auto"/>
                            <w:left w:val="none" w:sz="0" w:space="0" w:color="auto"/>
                            <w:bottom w:val="none" w:sz="0" w:space="0" w:color="auto"/>
                            <w:right w:val="none" w:sz="0" w:space="0" w:color="auto"/>
                          </w:divBdr>
                          <w:divsChild>
                            <w:div w:id="183487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57566">
                      <w:marLeft w:val="0"/>
                      <w:marRight w:val="0"/>
                      <w:marTop w:val="0"/>
                      <w:marBottom w:val="0"/>
                      <w:divBdr>
                        <w:top w:val="none" w:sz="0" w:space="0" w:color="auto"/>
                        <w:left w:val="none" w:sz="0" w:space="0" w:color="auto"/>
                        <w:bottom w:val="none" w:sz="0" w:space="0" w:color="auto"/>
                        <w:right w:val="none" w:sz="0" w:space="0" w:color="auto"/>
                      </w:divBdr>
                    </w:div>
                  </w:divsChild>
                </w:div>
                <w:div w:id="1057818880">
                  <w:marLeft w:val="0"/>
                  <w:marRight w:val="0"/>
                  <w:marTop w:val="0"/>
                  <w:marBottom w:val="0"/>
                  <w:divBdr>
                    <w:top w:val="none" w:sz="0" w:space="0" w:color="auto"/>
                    <w:left w:val="none" w:sz="0" w:space="0" w:color="auto"/>
                    <w:bottom w:val="none" w:sz="0" w:space="0" w:color="auto"/>
                    <w:right w:val="none" w:sz="0" w:space="0" w:color="auto"/>
                  </w:divBdr>
                  <w:divsChild>
                    <w:div w:id="348676384">
                      <w:marLeft w:val="0"/>
                      <w:marRight w:val="0"/>
                      <w:marTop w:val="0"/>
                      <w:marBottom w:val="0"/>
                      <w:divBdr>
                        <w:top w:val="none" w:sz="0" w:space="0" w:color="auto"/>
                        <w:left w:val="none" w:sz="0" w:space="0" w:color="auto"/>
                        <w:bottom w:val="none" w:sz="0" w:space="0" w:color="auto"/>
                        <w:right w:val="none" w:sz="0" w:space="0" w:color="auto"/>
                      </w:divBdr>
                      <w:divsChild>
                        <w:div w:id="1507209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5375643">
      <w:bodyDiv w:val="1"/>
      <w:marLeft w:val="0"/>
      <w:marRight w:val="0"/>
      <w:marTop w:val="0"/>
      <w:marBottom w:val="0"/>
      <w:divBdr>
        <w:top w:val="none" w:sz="0" w:space="0" w:color="auto"/>
        <w:left w:val="none" w:sz="0" w:space="0" w:color="auto"/>
        <w:bottom w:val="none" w:sz="0" w:space="0" w:color="auto"/>
        <w:right w:val="none" w:sz="0" w:space="0" w:color="auto"/>
      </w:divBdr>
      <w:divsChild>
        <w:div w:id="49621111">
          <w:marLeft w:val="0"/>
          <w:marRight w:val="0"/>
          <w:marTop w:val="0"/>
          <w:marBottom w:val="0"/>
          <w:divBdr>
            <w:top w:val="none" w:sz="0" w:space="0" w:color="auto"/>
            <w:left w:val="none" w:sz="0" w:space="0" w:color="auto"/>
            <w:bottom w:val="none" w:sz="0" w:space="0" w:color="auto"/>
            <w:right w:val="none" w:sz="0" w:space="0" w:color="auto"/>
          </w:divBdr>
          <w:divsChild>
            <w:div w:id="832913165">
              <w:marLeft w:val="0"/>
              <w:marRight w:val="0"/>
              <w:marTop w:val="0"/>
              <w:marBottom w:val="0"/>
              <w:divBdr>
                <w:top w:val="none" w:sz="0" w:space="0" w:color="auto"/>
                <w:left w:val="none" w:sz="0" w:space="0" w:color="auto"/>
                <w:bottom w:val="none" w:sz="0" w:space="0" w:color="auto"/>
                <w:right w:val="none" w:sz="0" w:space="0" w:color="auto"/>
              </w:divBdr>
              <w:divsChild>
                <w:div w:id="87577714">
                  <w:marLeft w:val="0"/>
                  <w:marRight w:val="0"/>
                  <w:marTop w:val="0"/>
                  <w:marBottom w:val="0"/>
                  <w:divBdr>
                    <w:top w:val="none" w:sz="0" w:space="0" w:color="auto"/>
                    <w:left w:val="none" w:sz="0" w:space="0" w:color="auto"/>
                    <w:bottom w:val="none" w:sz="0" w:space="0" w:color="auto"/>
                    <w:right w:val="none" w:sz="0" w:space="0" w:color="auto"/>
                  </w:divBdr>
                  <w:divsChild>
                    <w:div w:id="739056582">
                      <w:marLeft w:val="0"/>
                      <w:marRight w:val="0"/>
                      <w:marTop w:val="0"/>
                      <w:marBottom w:val="0"/>
                      <w:divBdr>
                        <w:top w:val="none" w:sz="0" w:space="0" w:color="auto"/>
                        <w:left w:val="none" w:sz="0" w:space="0" w:color="auto"/>
                        <w:bottom w:val="none" w:sz="0" w:space="0" w:color="auto"/>
                        <w:right w:val="none" w:sz="0" w:space="0" w:color="auto"/>
                      </w:divBdr>
                      <w:divsChild>
                        <w:div w:id="1192450639">
                          <w:marLeft w:val="0"/>
                          <w:marRight w:val="0"/>
                          <w:marTop w:val="0"/>
                          <w:marBottom w:val="0"/>
                          <w:divBdr>
                            <w:top w:val="none" w:sz="0" w:space="0" w:color="auto"/>
                            <w:left w:val="none" w:sz="0" w:space="0" w:color="auto"/>
                            <w:bottom w:val="none" w:sz="0" w:space="0" w:color="auto"/>
                            <w:right w:val="none" w:sz="0" w:space="0" w:color="auto"/>
                          </w:divBdr>
                          <w:divsChild>
                            <w:div w:id="1369188166">
                              <w:marLeft w:val="0"/>
                              <w:marRight w:val="0"/>
                              <w:marTop w:val="0"/>
                              <w:marBottom w:val="0"/>
                              <w:divBdr>
                                <w:top w:val="none" w:sz="0" w:space="0" w:color="auto"/>
                                <w:left w:val="none" w:sz="0" w:space="0" w:color="auto"/>
                                <w:bottom w:val="none" w:sz="0" w:space="0" w:color="auto"/>
                                <w:right w:val="none" w:sz="0" w:space="0" w:color="auto"/>
                              </w:divBdr>
                              <w:divsChild>
                                <w:div w:id="473374464">
                                  <w:marLeft w:val="0"/>
                                  <w:marRight w:val="0"/>
                                  <w:marTop w:val="0"/>
                                  <w:marBottom w:val="0"/>
                                  <w:divBdr>
                                    <w:top w:val="none" w:sz="0" w:space="0" w:color="auto"/>
                                    <w:left w:val="none" w:sz="0" w:space="0" w:color="auto"/>
                                    <w:bottom w:val="none" w:sz="0" w:space="0" w:color="auto"/>
                                    <w:right w:val="none" w:sz="0" w:space="0" w:color="auto"/>
                                  </w:divBdr>
                                  <w:divsChild>
                                    <w:div w:id="517280950">
                                      <w:marLeft w:val="0"/>
                                      <w:marRight w:val="0"/>
                                      <w:marTop w:val="0"/>
                                      <w:marBottom w:val="0"/>
                                      <w:divBdr>
                                        <w:top w:val="none" w:sz="0" w:space="0" w:color="auto"/>
                                        <w:left w:val="none" w:sz="0" w:space="0" w:color="auto"/>
                                        <w:bottom w:val="none" w:sz="0" w:space="0" w:color="auto"/>
                                        <w:right w:val="none" w:sz="0" w:space="0" w:color="auto"/>
                                      </w:divBdr>
                                      <w:divsChild>
                                        <w:div w:id="1859274421">
                                          <w:marLeft w:val="0"/>
                                          <w:marRight w:val="0"/>
                                          <w:marTop w:val="0"/>
                                          <w:marBottom w:val="0"/>
                                          <w:divBdr>
                                            <w:top w:val="none" w:sz="0" w:space="0" w:color="auto"/>
                                            <w:left w:val="none" w:sz="0" w:space="0" w:color="auto"/>
                                            <w:bottom w:val="none" w:sz="0" w:space="0" w:color="auto"/>
                                            <w:right w:val="none" w:sz="0" w:space="0" w:color="auto"/>
                                          </w:divBdr>
                                          <w:divsChild>
                                            <w:div w:id="998925655">
                                              <w:marLeft w:val="0"/>
                                              <w:marRight w:val="0"/>
                                              <w:marTop w:val="0"/>
                                              <w:marBottom w:val="0"/>
                                              <w:divBdr>
                                                <w:top w:val="none" w:sz="0" w:space="0" w:color="auto"/>
                                                <w:left w:val="none" w:sz="0" w:space="0" w:color="auto"/>
                                                <w:bottom w:val="none" w:sz="0" w:space="0" w:color="auto"/>
                                                <w:right w:val="none" w:sz="0" w:space="0" w:color="auto"/>
                                              </w:divBdr>
                                              <w:divsChild>
                                                <w:div w:id="1134715418">
                                                  <w:marLeft w:val="0"/>
                                                  <w:marRight w:val="0"/>
                                                  <w:marTop w:val="0"/>
                                                  <w:marBottom w:val="0"/>
                                                  <w:divBdr>
                                                    <w:top w:val="none" w:sz="0" w:space="0" w:color="auto"/>
                                                    <w:left w:val="none" w:sz="0" w:space="0" w:color="auto"/>
                                                    <w:bottom w:val="none" w:sz="0" w:space="0" w:color="auto"/>
                                                    <w:right w:val="none" w:sz="0" w:space="0" w:color="auto"/>
                                                  </w:divBdr>
                                                </w:div>
                                                <w:div w:id="91679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minedu.fi/OPM/Koulutus/koulutusjaerjestelmae/tutkintojen_tunnustaminen/?lang=en" TargetMode="External"/><Relationship Id="rId117" Type="http://schemas.openxmlformats.org/officeDocument/2006/relationships/hyperlink" Target="javascript:history.back()" TargetMode="External"/><Relationship Id="rId21" Type="http://schemas.openxmlformats.org/officeDocument/2006/relationships/hyperlink" Target="http://www.minedu.fi/OPM/Koulutus/koulutuspolitiikka/ennakointi/?lang=en" TargetMode="External"/><Relationship Id="rId42" Type="http://schemas.openxmlformats.org/officeDocument/2006/relationships/hyperlink" Target="http://www.minedu.fi/OPM/Koulutus/ammattikorkeakoulutus/opiskelu_ja_tutkinnot/?lang=en" TargetMode="External"/><Relationship Id="rId47" Type="http://schemas.openxmlformats.org/officeDocument/2006/relationships/hyperlink" Target="http://www.minedu.fi/OPM/Koulutus/yliopistokoulutus/opiskelu_ja_tutkinnot/?lang=en" TargetMode="External"/><Relationship Id="rId63" Type="http://schemas.openxmlformats.org/officeDocument/2006/relationships/hyperlink" Target="http://ec.europa.eu/education/policy/adult-learning/index_en.htm" TargetMode="External"/><Relationship Id="rId68" Type="http://schemas.openxmlformats.org/officeDocument/2006/relationships/hyperlink" Target="http://ec.europa.eu/education/tools/et-monitor_en.htm" TargetMode="External"/><Relationship Id="rId84" Type="http://schemas.openxmlformats.org/officeDocument/2006/relationships/hyperlink" Target="http://ec.europa.eu/education/policy/school/math_en.htm" TargetMode="External"/><Relationship Id="rId89" Type="http://schemas.openxmlformats.org/officeDocument/2006/relationships/hyperlink" Target="http://ec.europa.eu/education/policy/strategic-framework/indicators-benchmarks_en.htm" TargetMode="External"/><Relationship Id="rId112" Type="http://schemas.openxmlformats.org/officeDocument/2006/relationships/hyperlink" Target="http://eurodyneac/education/dashboard/reading/reading_en.htm" TargetMode="External"/><Relationship Id="rId16" Type="http://schemas.openxmlformats.org/officeDocument/2006/relationships/hyperlink" Target="http://www.minedu.fi/OPM/Koulutus/koulutuspolitiikka/?lang=en" TargetMode="External"/><Relationship Id="rId107" Type="http://schemas.openxmlformats.org/officeDocument/2006/relationships/hyperlink" Target="http://ec.europa.eu/education/tools/docs/etm-chapter0_en.pdf" TargetMode="External"/><Relationship Id="rId11" Type="http://schemas.openxmlformats.org/officeDocument/2006/relationships/hyperlink" Target="http://universityadmissions.fi/" TargetMode="External"/><Relationship Id="rId32" Type="http://schemas.openxmlformats.org/officeDocument/2006/relationships/hyperlink" Target="http://www.minedu.fi/OPM/Koulutus/koulutusjaerjestelmae/koulutuksen_hallinto_ja_paeaetoeksenteko/?lang=en" TargetMode="External"/><Relationship Id="rId37" Type="http://schemas.openxmlformats.org/officeDocument/2006/relationships/hyperlink" Target="http://www.minedu.fi/OPM/Koulutus/lukiokoulutus/?lang=en" TargetMode="External"/><Relationship Id="rId53" Type="http://schemas.openxmlformats.org/officeDocument/2006/relationships/hyperlink" Target="http://www.minedu.fi/OPM/Koulutus/koulutuspolitiikka/?lang=en" TargetMode="External"/><Relationship Id="rId58" Type="http://schemas.openxmlformats.org/officeDocument/2006/relationships/hyperlink" Target="http://ec.europa.eu/education/lifelong-learning-policy/progress_en.htm" TargetMode="External"/><Relationship Id="rId74" Type="http://schemas.openxmlformats.org/officeDocument/2006/relationships/hyperlink" Target="http://ec.europa.eu/education/policy/strategic-framework/indicators-benchmarks_en.htm" TargetMode="External"/><Relationship Id="rId79" Type="http://schemas.openxmlformats.org/officeDocument/2006/relationships/hyperlink" Target="http://ec.europa.eu/education/policy/higher-education/mobility-cbc_en.htm" TargetMode="External"/><Relationship Id="rId102" Type="http://schemas.openxmlformats.org/officeDocument/2006/relationships/hyperlink" Target="javascript:void(0)" TargetMode="External"/><Relationship Id="rId123" Type="http://schemas.openxmlformats.org/officeDocument/2006/relationships/footer" Target="footer1.xm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tmp"/><Relationship Id="rId95" Type="http://schemas.openxmlformats.org/officeDocument/2006/relationships/hyperlink" Target="javascript:void(0)" TargetMode="External"/><Relationship Id="rId19" Type="http://schemas.openxmlformats.org/officeDocument/2006/relationships/hyperlink" Target="http://www.minedu.fi/OPM/Koulutus/koulutuspolitiikka/rahoitus/?lang=en" TargetMode="External"/><Relationship Id="rId14" Type="http://schemas.openxmlformats.org/officeDocument/2006/relationships/image" Target="media/image1.png"/><Relationship Id="rId22" Type="http://schemas.openxmlformats.org/officeDocument/2006/relationships/hyperlink" Target="http://www.minedu.fi/OPM/Koulutus/koulutuspolitiikka/koulutuksen_kansainvaelinen_yhteistyoe/?lang=en" TargetMode="External"/><Relationship Id="rId27" Type="http://schemas.openxmlformats.org/officeDocument/2006/relationships/hyperlink" Target="http://www.minedu.fi/OPM/Koulutus/koulutusjaerjestelmae/koulutuksen_hallinto_ja_paeaetoeksenteko/?lang=en" TargetMode="External"/><Relationship Id="rId30" Type="http://schemas.openxmlformats.org/officeDocument/2006/relationships/hyperlink" Target="http://www.minedu.fi/OPM/Koulutus/koulutusjaerjestelmae/koulutukseen_hakeminen/?lang=en" TargetMode="External"/><Relationship Id="rId35" Type="http://schemas.openxmlformats.org/officeDocument/2006/relationships/hyperlink" Target="http://www.minedu.fi/OPM/Koulutus/esiopetus/?lang=en" TargetMode="External"/><Relationship Id="rId43" Type="http://schemas.openxmlformats.org/officeDocument/2006/relationships/hyperlink" Target="http://www.minedu.fi/OPM/Koulutus/ammattikorkeakoulutus/tutkimus-_ja_kehitystyoe/?lang=en" TargetMode="External"/><Relationship Id="rId48" Type="http://schemas.openxmlformats.org/officeDocument/2006/relationships/hyperlink" Target="http://www.minedu.fi/OPM/Koulutus/yliopistokoulutus/tilastoja/?lang=en" TargetMode="External"/><Relationship Id="rId56" Type="http://schemas.openxmlformats.org/officeDocument/2006/relationships/hyperlink" Target="javascript:history.back()" TargetMode="External"/><Relationship Id="rId64" Type="http://schemas.openxmlformats.org/officeDocument/2006/relationships/hyperlink" Target="http://ec.europa.eu/education/policy/school/teacher-training_en.htm" TargetMode="External"/><Relationship Id="rId69" Type="http://schemas.openxmlformats.org/officeDocument/2006/relationships/hyperlink" Target="http://ec.europa.eu/education/policy/strategic-framework/index_en.htm" TargetMode="External"/><Relationship Id="rId77" Type="http://schemas.openxmlformats.org/officeDocument/2006/relationships/hyperlink" Target="http://ec.europa.eu/education/policy/higher-education/bologna-process_en.htm" TargetMode="External"/><Relationship Id="rId100" Type="http://schemas.openxmlformats.org/officeDocument/2006/relationships/hyperlink" Target="javascript:void(0)" TargetMode="External"/><Relationship Id="rId105" Type="http://schemas.openxmlformats.org/officeDocument/2006/relationships/hyperlink" Target="http://ec.europa.eu/education/tools/docs/etm-chapter6_en.pdf" TargetMode="External"/><Relationship Id="rId113" Type="http://schemas.openxmlformats.org/officeDocument/2006/relationships/hyperlink" Target="http://eurodyneac/education/dashboard/maths/maths_en.htm" TargetMode="External"/><Relationship Id="rId118" Type="http://schemas.openxmlformats.org/officeDocument/2006/relationships/hyperlink" Target="http://www.minedu.fi/export/sites/default/OPM/Julkaisut/2014/liitteet/tr07.pdf?lang=en" TargetMode="External"/><Relationship Id="rId126" Type="http://schemas.openxmlformats.org/officeDocument/2006/relationships/footer" Target="footer3.xml"/><Relationship Id="rId8" Type="http://schemas.openxmlformats.org/officeDocument/2006/relationships/hyperlink" Target="http://europa.eu/youth/node/155_cs" TargetMode="External"/><Relationship Id="rId51" Type="http://schemas.openxmlformats.org/officeDocument/2006/relationships/hyperlink" Target="http://www.minedu.fi/OPM/?lang=en" TargetMode="External"/><Relationship Id="rId72" Type="http://schemas.openxmlformats.org/officeDocument/2006/relationships/image" Target="media/image7.gif"/><Relationship Id="rId80" Type="http://schemas.openxmlformats.org/officeDocument/2006/relationships/hyperlink" Target="http://ec.europa.eu/languages/policy/strategic-framework/rethinking-education_en.htm" TargetMode="External"/><Relationship Id="rId85" Type="http://schemas.openxmlformats.org/officeDocument/2006/relationships/hyperlink" Target="http://ec.europa.eu/education/policy/school/early-school-leavers_en.htm" TargetMode="External"/><Relationship Id="rId93" Type="http://schemas.openxmlformats.org/officeDocument/2006/relationships/hyperlink" Target="http://ec.europa.eu/education/library/publications/monitor13_en.pdf" TargetMode="External"/><Relationship Id="rId98" Type="http://schemas.openxmlformats.org/officeDocument/2006/relationships/hyperlink" Target="javascript:void(0)" TargetMode="External"/><Relationship Id="rId121"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www.edev.fi/portal/english5" TargetMode="External"/><Relationship Id="rId17" Type="http://schemas.openxmlformats.org/officeDocument/2006/relationships/hyperlink" Target="http://www.minedu.fi/OPM/Koulutus/koulutuspolitiikka/linjaukset_ohjelmat_ja_hankkeet/?lang=en" TargetMode="External"/><Relationship Id="rId25" Type="http://schemas.openxmlformats.org/officeDocument/2006/relationships/hyperlink" Target="http://www.minedu.fi/OPM/Koulutus/koulutusjaerjestelmae/koulutukseen_hakeminen/?lang=en" TargetMode="External"/><Relationship Id="rId33" Type="http://schemas.openxmlformats.org/officeDocument/2006/relationships/hyperlink" Target="http://www.minedu.fi/OPM/Koulutus/koulutusjaerjestelmae/koulutuksen_tilastoja/?lang=en" TargetMode="External"/><Relationship Id="rId38" Type="http://schemas.openxmlformats.org/officeDocument/2006/relationships/hyperlink" Target="http://www.minedu.fi/OPM/Koulutus/ammatillinen_koulutus/?lang=en" TargetMode="External"/><Relationship Id="rId46" Type="http://schemas.openxmlformats.org/officeDocument/2006/relationships/hyperlink" Target="http://www.minedu.fi/OPM/Koulutus/yliopistokoulutus/yliopistot/?lang=en" TargetMode="External"/><Relationship Id="rId59" Type="http://schemas.openxmlformats.org/officeDocument/2006/relationships/image" Target="media/image5.jpeg"/><Relationship Id="rId67" Type="http://schemas.openxmlformats.org/officeDocument/2006/relationships/hyperlink" Target="http://ec.europa.eu/education/policy/vocational-policy/index_en.htm" TargetMode="External"/><Relationship Id="rId103" Type="http://schemas.openxmlformats.org/officeDocument/2006/relationships/hyperlink" Target="http://ec.europa.eu/education/tools/docs/etm-chapter5_en.pdf" TargetMode="External"/><Relationship Id="rId108" Type="http://schemas.openxmlformats.org/officeDocument/2006/relationships/hyperlink" Target="javascript:void(0)" TargetMode="External"/><Relationship Id="rId116" Type="http://schemas.openxmlformats.org/officeDocument/2006/relationships/hyperlink" Target="http://www.minedu.fi/OPM/Julkaisut/2014/yo_rahoitusmallin_tarkistaminen.html?lang=en&amp;extra_locale=sv" TargetMode="External"/><Relationship Id="rId124" Type="http://schemas.openxmlformats.org/officeDocument/2006/relationships/footer" Target="footer2.xml"/><Relationship Id="rId20" Type="http://schemas.openxmlformats.org/officeDocument/2006/relationships/hyperlink" Target="http://www.minedu.fi/OPM/Koulutus/koulutuspolitiikka/koulutuksen_arviointi/?lang=en" TargetMode="External"/><Relationship Id="rId41" Type="http://schemas.openxmlformats.org/officeDocument/2006/relationships/hyperlink" Target="http://www.minedu.fi/OPM/Koulutus/ammattikorkeakoulutus/ammattikorkeakoulut/?lang=en" TargetMode="External"/><Relationship Id="rId54" Type="http://schemas.openxmlformats.org/officeDocument/2006/relationships/image" Target="media/image2.tmp"/><Relationship Id="rId62" Type="http://schemas.openxmlformats.org/officeDocument/2006/relationships/image" Target="media/image6.gif"/><Relationship Id="rId70" Type="http://schemas.openxmlformats.org/officeDocument/2006/relationships/hyperlink" Target="http://ec.europa.eu/europe2020/index_en.htm" TargetMode="External"/><Relationship Id="rId75" Type="http://schemas.openxmlformats.org/officeDocument/2006/relationships/hyperlink" Target="http://www.oecd.org/edu/school/talis.htm" TargetMode="External"/><Relationship Id="rId83" Type="http://schemas.openxmlformats.org/officeDocument/2006/relationships/hyperlink" Target="http://ec.europa.eu/education/policy/school/index_en.htm" TargetMode="External"/><Relationship Id="rId88" Type="http://schemas.openxmlformats.org/officeDocument/2006/relationships/hyperlink" Target="http://ec.europa.eu/education/opportunities/index_en.htm" TargetMode="External"/><Relationship Id="rId91" Type="http://schemas.openxmlformats.org/officeDocument/2006/relationships/hyperlink" Target="http://ec.europa.eu/education/policy/strategic-framework/index_en.htm" TargetMode="External"/><Relationship Id="rId96" Type="http://schemas.openxmlformats.org/officeDocument/2006/relationships/image" Target="media/image10.gif"/><Relationship Id="rId111" Type="http://schemas.openxmlformats.org/officeDocument/2006/relationships/hyperlink" Target="http://eurodyneac/education/dashboard/ecec/ecec_en.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minedu.fi/OPM/Koulutus/ammattikorkeakoulutus/hallinto_ohjaus_ja_rahoitus/?lang=en" TargetMode="External"/><Relationship Id="rId23" Type="http://schemas.openxmlformats.org/officeDocument/2006/relationships/hyperlink" Target="http://www.minedu.fi/OPM/Koulutus/koulutusjaerjestelmae/?lang=en" TargetMode="External"/><Relationship Id="rId28" Type="http://schemas.openxmlformats.org/officeDocument/2006/relationships/hyperlink" Target="http://www.minedu.fi/OPM/Koulutus/koulutusjaerjestelmae/koulutuksen_tilastoja/?lang=en" TargetMode="External"/><Relationship Id="rId36" Type="http://schemas.openxmlformats.org/officeDocument/2006/relationships/hyperlink" Target="http://www.minedu.fi/OPM/Koulutus/perusopetus/?lang=en" TargetMode="External"/><Relationship Id="rId49" Type="http://schemas.openxmlformats.org/officeDocument/2006/relationships/hyperlink" Target="http://www.minedu.fi/OPM/Koulutus/aikuiskoulutus_ja_vapaa_sivistystyoe/?lang=en" TargetMode="External"/><Relationship Id="rId57" Type="http://schemas.openxmlformats.org/officeDocument/2006/relationships/image" Target="media/image4.jpeg"/><Relationship Id="rId106" Type="http://schemas.openxmlformats.org/officeDocument/2006/relationships/hyperlink" Target="javascript:void(0)" TargetMode="External"/><Relationship Id="rId114" Type="http://schemas.openxmlformats.org/officeDocument/2006/relationships/hyperlink" Target="http://eurodyneac/education/dashboard/science/science_en.htm" TargetMode="External"/><Relationship Id="rId119" Type="http://schemas.openxmlformats.org/officeDocument/2006/relationships/image" Target="media/image11.tmp"/><Relationship Id="rId127" Type="http://schemas.openxmlformats.org/officeDocument/2006/relationships/fontTable" Target="fontTable.xml"/><Relationship Id="rId10" Type="http://schemas.openxmlformats.org/officeDocument/2006/relationships/hyperlink" Target="https://webgate.ec.europa.eu/fpfis/mwikis/eurydice/index.php/Finland:Overview" TargetMode="External"/><Relationship Id="rId31" Type="http://schemas.openxmlformats.org/officeDocument/2006/relationships/hyperlink" Target="http://www.minedu.fi/OPM/Koulutus/koulutusjaerjestelmae/tutkintojen_tunnustaminen/?lang=en" TargetMode="External"/><Relationship Id="rId44" Type="http://schemas.openxmlformats.org/officeDocument/2006/relationships/hyperlink" Target="http://www.minedu.fi/OPM/Koulutus/yliopistokoulutus/?lang=en" TargetMode="External"/><Relationship Id="rId52" Type="http://schemas.openxmlformats.org/officeDocument/2006/relationships/hyperlink" Target="http://www.minedu.fi/OPM/Koulutus/?lang=en" TargetMode="External"/><Relationship Id="rId60" Type="http://schemas.openxmlformats.org/officeDocument/2006/relationships/hyperlink" Target="http://ec.europa.eu/education/policy/strategic-framework/index_en.htm" TargetMode="External"/><Relationship Id="rId65" Type="http://schemas.openxmlformats.org/officeDocument/2006/relationships/hyperlink" Target="http://ec.europa.eu/education/policy/strategic-framework/education-technology.htm" TargetMode="External"/><Relationship Id="rId73" Type="http://schemas.openxmlformats.org/officeDocument/2006/relationships/hyperlink" Target="http://ec.europa.eu/education/policy/strategic-framework/indicators-benchmarks_en.htm" TargetMode="External"/><Relationship Id="rId78" Type="http://schemas.openxmlformats.org/officeDocument/2006/relationships/hyperlink" Target="http://ec.europa.eu/education/opportunities/index_en.htm" TargetMode="External"/><Relationship Id="rId81" Type="http://schemas.openxmlformats.org/officeDocument/2006/relationships/hyperlink" Target="http://ec.europa.eu/education/policy/strategic-framework/social-inclusion_en.htm" TargetMode="External"/><Relationship Id="rId86" Type="http://schemas.openxmlformats.org/officeDocument/2006/relationships/hyperlink" Target="http://ec.europa.eu/education/policy/higher-education/attainment_en.htm" TargetMode="External"/><Relationship Id="rId94" Type="http://schemas.openxmlformats.org/officeDocument/2006/relationships/image" Target="media/image9.gif"/><Relationship Id="rId99" Type="http://schemas.openxmlformats.org/officeDocument/2006/relationships/hyperlink" Target="http://ec.europa.eu/education/tools/docs/etm-chapter3_en.pdf" TargetMode="External"/><Relationship Id="rId101" Type="http://schemas.openxmlformats.org/officeDocument/2006/relationships/hyperlink" Target="http://ec.europa.eu/education/tools/docs/etm-chapter4_en.pdf" TargetMode="External"/><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oph.fi/english/education" TargetMode="External"/><Relationship Id="rId13" Type="http://schemas.openxmlformats.org/officeDocument/2006/relationships/hyperlink" Target="http://www.studyinfinland.fi/" TargetMode="External"/><Relationship Id="rId18" Type="http://schemas.openxmlformats.org/officeDocument/2006/relationships/hyperlink" Target="http://www.minedu.fi/OPM/Koulutus/koulutuspolitiikka/lait_ja_ohjeet/?lang=en" TargetMode="External"/><Relationship Id="rId39" Type="http://schemas.openxmlformats.org/officeDocument/2006/relationships/hyperlink" Target="http://www.minedu.fi/OPM/Koulutus/ammattikorkeakoulutus/?lang=en" TargetMode="External"/><Relationship Id="rId109" Type="http://schemas.openxmlformats.org/officeDocument/2006/relationships/hyperlink" Target="http://ec.europa.eu/education/tools/docs/etm2013-country-reports_en.pdf" TargetMode="External"/><Relationship Id="rId34" Type="http://schemas.openxmlformats.org/officeDocument/2006/relationships/hyperlink" Target="http://www.minedu.fi/OPM/Koulutus/varhaiskasvatus/?lang=en" TargetMode="External"/><Relationship Id="rId50" Type="http://schemas.openxmlformats.org/officeDocument/2006/relationships/hyperlink" Target="http://www.minedu.fi/OPM/Koulutus/opintotuki/?lang=en" TargetMode="External"/><Relationship Id="rId55" Type="http://schemas.openxmlformats.org/officeDocument/2006/relationships/image" Target="media/image3.tmp"/><Relationship Id="rId76" Type="http://schemas.openxmlformats.org/officeDocument/2006/relationships/hyperlink" Target="http://ec.europa.eu/education/policy/strategic-framework/skills-development_en.htm" TargetMode="External"/><Relationship Id="rId97" Type="http://schemas.openxmlformats.org/officeDocument/2006/relationships/hyperlink" Target="http://ec.europa.eu/education/tools/docs/etm-chapter2_en.pdf" TargetMode="External"/><Relationship Id="rId104" Type="http://schemas.openxmlformats.org/officeDocument/2006/relationships/hyperlink" Target="javascript:void(0)" TargetMode="External"/><Relationship Id="rId120" Type="http://schemas.openxmlformats.org/officeDocument/2006/relationships/image" Target="media/image12.tmp"/><Relationship Id="rId125"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hyperlink" Target="http://www.oecd.org/" TargetMode="External"/><Relationship Id="rId92" Type="http://schemas.openxmlformats.org/officeDocument/2006/relationships/hyperlink" Target="http://ec.europa.eu/europe2020/index_en.htm" TargetMode="External"/><Relationship Id="rId2" Type="http://schemas.openxmlformats.org/officeDocument/2006/relationships/numbering" Target="numbering.xml"/><Relationship Id="rId29" Type="http://schemas.openxmlformats.org/officeDocument/2006/relationships/hyperlink" Target="http://www.minedu.fi/OPM/Koulutus/koulutusjaerjestelmae/tutkinnot_ja_opinnot/?lang=en" TargetMode="External"/><Relationship Id="rId24" Type="http://schemas.openxmlformats.org/officeDocument/2006/relationships/hyperlink" Target="http://www.minedu.fi/OPM/Koulutus/koulutusjaerjestelmae/tutkinnot_ja_opinnot/?lang=en" TargetMode="External"/><Relationship Id="rId40" Type="http://schemas.openxmlformats.org/officeDocument/2006/relationships/hyperlink" Target="http://www.minedu.fi/OPM/Koulutus/ammattikorkeakoulutus/hallinto_ohjaus_ja_rahoitus/?lang=en" TargetMode="External"/><Relationship Id="rId45" Type="http://schemas.openxmlformats.org/officeDocument/2006/relationships/hyperlink" Target="http://www.minedu.fi/OPM/Koulutus/yliopistokoulutus/hallinto_ohjaus_ja_rahoitus/?lang=en" TargetMode="External"/><Relationship Id="rId66" Type="http://schemas.openxmlformats.org/officeDocument/2006/relationships/hyperlink" Target="http://ec.europa.eu/education/policy/strategic-framework/entrepreneurship_en.htm" TargetMode="External"/><Relationship Id="rId87" Type="http://schemas.openxmlformats.org/officeDocument/2006/relationships/hyperlink" Target="http://ec.europa.eu/education/policy/adult-learning/index_en.htm" TargetMode="External"/><Relationship Id="rId110" Type="http://schemas.openxmlformats.org/officeDocument/2006/relationships/hyperlink" Target="javascript:void(0)" TargetMode="External"/><Relationship Id="rId115" Type="http://schemas.openxmlformats.org/officeDocument/2006/relationships/hyperlink" Target="http://www.minedu.fi/OPM/Julkaisut/2014/yo_rahoitusmallin_tarkistaminen.html?lang=en&amp;extra_locale=fi" TargetMode="External"/><Relationship Id="rId61" Type="http://schemas.openxmlformats.org/officeDocument/2006/relationships/hyperlink" Target="http://ec.europa.eu/languages/index_en.htm" TargetMode="External"/><Relationship Id="rId82" Type="http://schemas.openxmlformats.org/officeDocument/2006/relationships/hyperlink" Target="http://ec.europa.eu/education/policy/strategic-framework/entrepreneurship_en.ht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A351BE-ABEC-4E43-99E6-2BB652A4FB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4602</Words>
  <Characters>27153</Characters>
  <Application>Microsoft Office Word</Application>
  <DocSecurity>0</DocSecurity>
  <Lines>226</Lines>
  <Paragraphs>63</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Tieto</Company>
  <LinksUpToDate>false</LinksUpToDate>
  <CharactersWithSpaces>31692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soldapre</dc:creator>
  <cp:lastModifiedBy>Šťavová Jindra</cp:lastModifiedBy>
  <cp:revision>5</cp:revision>
  <dcterms:created xsi:type="dcterms:W3CDTF">2015-10-09T07:53:00Z</dcterms:created>
  <dcterms:modified xsi:type="dcterms:W3CDTF">2015-10-09T09:46:00Z</dcterms:modified>
</cp:coreProperties>
</file>